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213" w:rsidRPr="008750E4" w:rsidRDefault="00195213" w:rsidP="00195213">
      <w:pPr>
        <w:keepNext/>
        <w:widowControl w:val="0"/>
        <w:tabs>
          <w:tab w:val="left" w:pos="0"/>
        </w:tabs>
        <w:suppressAutoHyphens/>
        <w:autoSpaceDE w:val="0"/>
        <w:autoSpaceDN w:val="0"/>
        <w:adjustRightInd w:val="0"/>
        <w:spacing w:after="0"/>
        <w:jc w:val="center"/>
        <w:rPr>
          <w:rFonts w:ascii="Tahoma" w:hAnsi="Tahoma" w:cs="Tahoma"/>
          <w:b/>
          <w:bCs/>
          <w:color w:val="000000"/>
          <w:sz w:val="24"/>
          <w:szCs w:val="24"/>
        </w:rPr>
      </w:pPr>
      <w:bookmarkStart w:id="0" w:name="_Toc434351711"/>
      <w:r w:rsidRPr="008750E4">
        <w:rPr>
          <w:rFonts w:ascii="Tahoma" w:hAnsi="Tahoma" w:cs="Tahoma"/>
          <w:b/>
          <w:bCs/>
          <w:color w:val="000000"/>
          <w:sz w:val="24"/>
          <w:szCs w:val="24"/>
        </w:rPr>
        <w:t>REPUBLIQUE DU SENEGAL</w:t>
      </w:r>
    </w:p>
    <w:p w:rsidR="00195213" w:rsidRPr="008750E4" w:rsidRDefault="00195213" w:rsidP="00195213">
      <w:pPr>
        <w:spacing w:after="0"/>
        <w:jc w:val="center"/>
        <w:rPr>
          <w:rFonts w:ascii="Tahoma" w:hAnsi="Tahoma" w:cs="Tahoma"/>
          <w:sz w:val="20"/>
          <w:szCs w:val="20"/>
        </w:rPr>
      </w:pPr>
      <w:r w:rsidRPr="008750E4">
        <w:rPr>
          <w:rFonts w:ascii="Tahoma" w:hAnsi="Tahoma" w:cs="Tahoma"/>
          <w:sz w:val="20"/>
          <w:szCs w:val="20"/>
        </w:rPr>
        <w:t>Un peuple – Un but – Une foi</w:t>
      </w:r>
    </w:p>
    <w:p w:rsidR="00195213" w:rsidRPr="008750E4" w:rsidRDefault="00195213" w:rsidP="00195213">
      <w:pPr>
        <w:spacing w:after="0"/>
        <w:jc w:val="center"/>
        <w:rPr>
          <w:rFonts w:ascii="Tahoma" w:hAnsi="Tahoma" w:cs="Tahoma"/>
          <w:b/>
          <w:sz w:val="24"/>
          <w:szCs w:val="24"/>
        </w:rPr>
      </w:pPr>
      <w:r w:rsidRPr="008750E4">
        <w:rPr>
          <w:rFonts w:ascii="Tahoma" w:hAnsi="Tahoma" w:cs="Tahoma"/>
          <w:b/>
          <w:sz w:val="24"/>
          <w:szCs w:val="24"/>
        </w:rPr>
        <w:t>MINISTERE DE L’ECONOMIEDES FINANCES ET DU PLAN</w:t>
      </w:r>
    </w:p>
    <w:p w:rsidR="00195213" w:rsidRPr="008750E4" w:rsidRDefault="00195213" w:rsidP="00195213">
      <w:pPr>
        <w:jc w:val="both"/>
        <w:rPr>
          <w:rFonts w:ascii="Tahoma" w:hAnsi="Tahoma" w:cs="Tahoma"/>
          <w:sz w:val="24"/>
          <w:szCs w:val="24"/>
        </w:rPr>
      </w:pPr>
      <w:r w:rsidRPr="008750E4">
        <w:rPr>
          <w:rFonts w:ascii="Tahoma" w:hAnsi="Tahoma" w:cs="Tahoma"/>
          <w:noProof/>
          <w:sz w:val="24"/>
          <w:szCs w:val="24"/>
          <w:lang w:eastAsia="fr-FR"/>
        </w:rPr>
        <w:drawing>
          <wp:anchor distT="0" distB="0" distL="114300" distR="114300" simplePos="0" relativeHeight="251664384" behindDoc="0" locked="0" layoutInCell="1" allowOverlap="1">
            <wp:simplePos x="0" y="0"/>
            <wp:positionH relativeFrom="column">
              <wp:posOffset>2090420</wp:posOffset>
            </wp:positionH>
            <wp:positionV relativeFrom="paragraph">
              <wp:posOffset>118745</wp:posOffset>
            </wp:positionV>
            <wp:extent cx="1609725" cy="1457325"/>
            <wp:effectExtent l="19050" t="0" r="9525" b="0"/>
            <wp:wrapTight wrapText="bothSides">
              <wp:wrapPolygon edited="0">
                <wp:start x="-256" y="0"/>
                <wp:lineTo x="-256" y="21459"/>
                <wp:lineTo x="21728" y="21459"/>
                <wp:lineTo x="21728" y="0"/>
                <wp:lineTo x="-256" y="0"/>
              </wp:wrapPolygon>
            </wp:wrapTight>
            <wp:docPr id="1"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6" cstate="print"/>
                    <a:srcRect/>
                    <a:stretch>
                      <a:fillRect/>
                    </a:stretch>
                  </pic:blipFill>
                  <pic:spPr bwMode="auto">
                    <a:xfrm>
                      <a:off x="0" y="0"/>
                      <a:ext cx="1609725" cy="1457325"/>
                    </a:xfrm>
                    <a:prstGeom prst="rect">
                      <a:avLst/>
                    </a:prstGeom>
                    <a:noFill/>
                    <a:ln w="9525">
                      <a:noFill/>
                      <a:miter lim="800000"/>
                      <a:headEnd/>
                      <a:tailEnd/>
                    </a:ln>
                  </pic:spPr>
                </pic:pic>
              </a:graphicData>
            </a:graphic>
          </wp:anchor>
        </w:drawing>
      </w:r>
    </w:p>
    <w:p w:rsidR="00195213" w:rsidRPr="008750E4" w:rsidRDefault="00195213" w:rsidP="00195213">
      <w:pPr>
        <w:jc w:val="both"/>
        <w:rPr>
          <w:rFonts w:ascii="Tahoma" w:hAnsi="Tahoma" w:cs="Tahoma"/>
          <w:sz w:val="24"/>
          <w:szCs w:val="24"/>
        </w:rPr>
      </w:pPr>
    </w:p>
    <w:p w:rsidR="00195213" w:rsidRPr="008750E4" w:rsidRDefault="00195213" w:rsidP="00195213">
      <w:pPr>
        <w:jc w:val="both"/>
        <w:rPr>
          <w:rFonts w:ascii="Tahoma" w:hAnsi="Tahoma" w:cs="Tahoma"/>
          <w:b/>
          <w:bCs/>
          <w:sz w:val="24"/>
          <w:szCs w:val="24"/>
        </w:rPr>
      </w:pPr>
    </w:p>
    <w:p w:rsidR="00195213" w:rsidRPr="008750E4" w:rsidRDefault="00195213" w:rsidP="00195213">
      <w:pPr>
        <w:jc w:val="both"/>
        <w:rPr>
          <w:rFonts w:ascii="Tahoma" w:hAnsi="Tahoma" w:cs="Tahoma"/>
          <w:b/>
          <w:bCs/>
          <w:sz w:val="24"/>
          <w:szCs w:val="24"/>
        </w:rPr>
      </w:pPr>
    </w:p>
    <w:p w:rsidR="00195213" w:rsidRPr="008750E4" w:rsidRDefault="00195213" w:rsidP="00195213">
      <w:pPr>
        <w:jc w:val="both"/>
        <w:rPr>
          <w:rFonts w:ascii="Tahoma" w:hAnsi="Tahoma" w:cs="Tahoma"/>
          <w:b/>
          <w:bCs/>
          <w:sz w:val="24"/>
          <w:szCs w:val="24"/>
        </w:rPr>
      </w:pPr>
    </w:p>
    <w:p w:rsidR="00195213" w:rsidRPr="008750E4" w:rsidRDefault="00195213" w:rsidP="00195213">
      <w:pPr>
        <w:jc w:val="both"/>
        <w:rPr>
          <w:rFonts w:ascii="Tahoma" w:hAnsi="Tahoma" w:cs="Tahoma"/>
          <w:b/>
          <w:bCs/>
          <w:sz w:val="24"/>
          <w:szCs w:val="24"/>
        </w:rPr>
      </w:pPr>
    </w:p>
    <w:p w:rsidR="00195213" w:rsidRPr="008750E4" w:rsidRDefault="00F9476B" w:rsidP="00195213">
      <w:pPr>
        <w:jc w:val="both"/>
        <w:rPr>
          <w:rFonts w:ascii="Tahoma" w:hAnsi="Tahoma" w:cs="Tahoma"/>
          <w:sz w:val="24"/>
          <w:szCs w:val="24"/>
        </w:rPr>
      </w:pPr>
      <w:r>
        <w:rPr>
          <w:rFonts w:ascii="Tahoma" w:hAnsi="Tahoma" w:cs="Tahoma"/>
          <w:noProof/>
          <w:sz w:val="24"/>
          <w:szCs w:val="24"/>
          <w:lang w:eastAsia="fr-FR"/>
        </w:rPr>
        <w:pict>
          <v:rect id="Rectangle 23" o:spid="_x0000_s1031" style="position:absolute;left:0;text-align:left;margin-left:233.6pt;margin-top:17.35pt;width:.4pt;height:.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elCeQIAAPg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" stroked="f"/>
        </w:pict>
      </w:r>
      <w:r>
        <w:rPr>
          <w:rFonts w:ascii="Tahoma" w:hAnsi="Tahoma" w:cs="Tahoma"/>
          <w:noProof/>
          <w:sz w:val="24"/>
          <w:szCs w:val="24"/>
          <w:lang w:eastAsia="fr-FR"/>
        </w:rPr>
        <w:pict>
          <v:rect id="Rectangle 22" o:spid="_x0000_s1030" style="position:absolute;left:0;text-align:left;margin-left:233.6pt;margin-top:17.35pt;width:.4pt;height:.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" stroked="f"/>
        </w:pict>
      </w:r>
      <w:r>
        <w:rPr>
          <w:rFonts w:ascii="Tahoma" w:hAnsi="Tahoma" w:cs="Tahoma"/>
          <w:noProof/>
          <w:sz w:val="24"/>
          <w:szCs w:val="24"/>
          <w:lang w:eastAsia="fr-FR"/>
        </w:rPr>
        <w:pict>
          <v:rect id="Rectangle 21" o:spid="_x0000_s1029" style="position:absolute;left:0;text-align:left;margin-left:233.6pt;margin-top:17.35pt;width:.4pt;height:.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2JReAIAAPg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" stroked="f"/>
        </w:pict>
      </w:r>
      <w:r>
        <w:rPr>
          <w:rFonts w:ascii="Tahoma" w:hAnsi="Tahoma" w:cs="Tahoma"/>
          <w:noProof/>
          <w:sz w:val="24"/>
          <w:szCs w:val="24"/>
          <w:lang w:eastAsia="fr-FR"/>
        </w:rPr>
        <w:pict>
          <v:group id="Zone de dessin 19" o:spid="_x0000_s1027" editas="canvas" style="position:absolute;left:0;text-align:left;margin-left:3in;margin-top:53.6pt;width:108pt;height:27pt;z-index:251660288" coordsize="1371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3716;height:3429;visibility:visible">
              <v:fill o:detectmouseclick="t"/>
              <v:path o:connecttype="none"/>
            </v:shape>
          </v:group>
        </w:pict>
      </w:r>
    </w:p>
    <w:p w:rsidR="00195213" w:rsidRPr="008750E4" w:rsidRDefault="00195213" w:rsidP="00195213">
      <w:pPr>
        <w:jc w:val="both"/>
        <w:rPr>
          <w:rFonts w:ascii="Tahoma" w:hAnsi="Tahoma" w:cs="Tahoma"/>
          <w:sz w:val="24"/>
          <w:szCs w:val="24"/>
        </w:rPr>
      </w:pPr>
    </w:p>
    <w:p w:rsidR="00195213" w:rsidRDefault="00195213" w:rsidP="00195213">
      <w:pPr>
        <w:jc w:val="both"/>
        <w:rPr>
          <w:rFonts w:ascii="Tahoma" w:hAnsi="Tahoma" w:cs="Tahoma"/>
          <w:sz w:val="24"/>
          <w:szCs w:val="24"/>
        </w:rPr>
      </w:pPr>
    </w:p>
    <w:p w:rsidR="00195213" w:rsidRPr="008750E4" w:rsidRDefault="00195213" w:rsidP="00195213">
      <w:pPr>
        <w:jc w:val="both"/>
        <w:rPr>
          <w:rFonts w:ascii="Tahoma" w:hAnsi="Tahoma" w:cs="Tahoma"/>
          <w:sz w:val="24"/>
          <w:szCs w:val="24"/>
        </w:rPr>
      </w:pPr>
    </w:p>
    <w:p w:rsidR="00195213" w:rsidRPr="008750E4" w:rsidRDefault="00F9476B" w:rsidP="00195213">
      <w:pPr>
        <w:jc w:val="both"/>
        <w:rPr>
          <w:rFonts w:ascii="Tahoma" w:hAnsi="Tahoma" w:cs="Tahoma"/>
          <w:sz w:val="24"/>
          <w:szCs w:val="24"/>
        </w:rPr>
      </w:pPr>
      <w:r w:rsidRPr="00F9476B">
        <w:rPr>
          <w:rFonts w:ascii="Tahoma" w:eastAsia="Batang" w:hAnsi="Tahoma" w:cs="Tahoma"/>
          <w:b/>
          <w:bCs/>
          <w:noProof/>
          <w:sz w:val="20"/>
          <w:szCs w:val="20"/>
          <w:lang w:eastAsia="fr-FR"/>
        </w:rPr>
      </w:r>
      <w:r w:rsidR="000567B8" w:rsidRPr="00F9476B">
        <w:rPr>
          <w:rFonts w:ascii="Tahoma" w:eastAsia="Batang" w:hAnsi="Tahoma" w:cs="Tahoma"/>
          <w:b/>
          <w:bCs/>
          <w:noProof/>
          <w:sz w:val="20"/>
          <w:szCs w:val="20"/>
          <w:lang w:eastAsia="fr-FR"/>
        </w:rPr>
        <w:pict>
          <v:shapetype id="_x0000_t202" coordsize="21600,21600" o:spt="202" path="m,l,21600r21600,l21600,xe">
            <v:stroke joinstyle="miter"/>
            <v:path gradientshapeok="t" o:connecttype="rect"/>
          </v:shapetype>
          <v:shape id="WordArt 1" o:spid="_x0000_s1032" type="#_x0000_t202" style="width:459pt;height:1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" filled="f" stroked="f">
            <o:lock v:ext="edit" shapetype="t"/>
            <v:textbox style="mso-fit-shape-to-text:t">
              <w:txbxContent>
                <w:p w:rsidR="00195213" w:rsidRDefault="00195213" w:rsidP="00195213">
                  <w:pPr>
                    <w:pStyle w:val="NormalWeb"/>
                    <w:spacing w:before="0" w:beforeAutospacing="0" w:after="0" w:afterAutospacing="0"/>
                    <w:jc w:val="center"/>
                  </w:pPr>
                  <w:r>
                    <w:rPr>
                      <w:rFonts w:ascii="Impact" w:hAnsi="Impact"/>
                      <w:shadow/>
                      <w:color w:val="0066CC"/>
                      <w:sz w:val="64"/>
                      <w:szCs w:val="64"/>
                    </w:rPr>
                    <w:t xml:space="preserve">ENQUETE </w:t>
                  </w:r>
                </w:p>
                <w:p w:rsidR="00195213" w:rsidRDefault="00195213" w:rsidP="00195213">
                  <w:pPr>
                    <w:pStyle w:val="NormalWeb"/>
                    <w:spacing w:before="0" w:beforeAutospacing="0" w:after="0" w:afterAutospacing="0"/>
                    <w:jc w:val="center"/>
                  </w:pPr>
                  <w:r>
                    <w:rPr>
                      <w:rFonts w:ascii="Impact" w:hAnsi="Impact"/>
                      <w:shadow/>
                      <w:color w:val="0066CC"/>
                      <w:sz w:val="64"/>
                      <w:szCs w:val="64"/>
                    </w:rPr>
                    <w:t>A L 'ECOUTE DU SENEGAL</w:t>
                  </w:r>
                </w:p>
                <w:p w:rsidR="00195213" w:rsidRDefault="00195213" w:rsidP="00195213">
                  <w:pPr>
                    <w:pStyle w:val="NormalWeb"/>
                    <w:spacing w:before="0" w:beforeAutospacing="0" w:after="0" w:afterAutospacing="0"/>
                    <w:jc w:val="center"/>
                  </w:pPr>
                  <w:r>
                    <w:rPr>
                      <w:rFonts w:ascii="Impact" w:hAnsi="Impact"/>
                      <w:shadow/>
                      <w:color w:val="0066CC"/>
                      <w:sz w:val="64"/>
                      <w:szCs w:val="64"/>
                    </w:rPr>
                    <w:t>2014</w:t>
                  </w:r>
                </w:p>
              </w:txbxContent>
            </v:textbox>
            <w10:wrap type="none"/>
            <w10:anchorlock/>
          </v:shape>
        </w:pict>
      </w:r>
    </w:p>
    <w:p w:rsidR="00195213" w:rsidRPr="008750E4" w:rsidRDefault="00195213" w:rsidP="00195213">
      <w:pPr>
        <w:jc w:val="both"/>
        <w:rPr>
          <w:rFonts w:ascii="Tahoma" w:eastAsia="Batang" w:hAnsi="Tahoma" w:cs="Tahoma"/>
          <w:b/>
          <w:bCs/>
          <w:sz w:val="24"/>
          <w:szCs w:val="24"/>
        </w:rPr>
      </w:pPr>
    </w:p>
    <w:p w:rsidR="00195213" w:rsidRPr="008750E4" w:rsidRDefault="00195213" w:rsidP="00195213">
      <w:pPr>
        <w:spacing w:after="0"/>
        <w:rPr>
          <w:rFonts w:ascii="Tahoma" w:eastAsia="Batang" w:hAnsi="Tahoma" w:cs="Tahoma"/>
          <w:b/>
          <w:bCs/>
          <w:sz w:val="24"/>
          <w:szCs w:val="24"/>
        </w:rPr>
      </w:pPr>
    </w:p>
    <w:p w:rsidR="00195213" w:rsidRPr="008750E4" w:rsidRDefault="00195213" w:rsidP="00195213">
      <w:pPr>
        <w:spacing w:after="0"/>
        <w:jc w:val="center"/>
        <w:rPr>
          <w:rFonts w:ascii="Tahoma" w:hAnsi="Tahoma" w:cs="Tahoma"/>
          <w:bCs/>
          <w:sz w:val="20"/>
          <w:szCs w:val="20"/>
        </w:rPr>
      </w:pPr>
      <w:r w:rsidRPr="008750E4">
        <w:rPr>
          <w:rFonts w:ascii="Tahoma" w:hAnsi="Tahoma" w:cs="Tahoma"/>
          <w:bCs/>
          <w:sz w:val="20"/>
          <w:szCs w:val="20"/>
        </w:rPr>
        <w:t>Septembre 2015</w:t>
      </w:r>
    </w:p>
    <w:p w:rsidR="00195213" w:rsidRPr="00DC7DD4" w:rsidRDefault="00DC7DD4" w:rsidP="00195213">
      <w:pPr>
        <w:jc w:val="center"/>
        <w:rPr>
          <w:rFonts w:ascii="Tahoma" w:eastAsia="Batang" w:hAnsi="Tahoma" w:cs="Tahoma"/>
          <w:b/>
          <w:bCs/>
          <w:sz w:val="24"/>
          <w:szCs w:val="24"/>
          <w:u w:val="single"/>
        </w:rPr>
      </w:pPr>
      <w:r w:rsidRPr="00DC7DD4">
        <w:rPr>
          <w:rFonts w:ascii="Tahoma" w:eastAsia="Batang" w:hAnsi="Tahoma" w:cs="Tahoma"/>
          <w:b/>
          <w:bCs/>
          <w:sz w:val="24"/>
          <w:szCs w:val="24"/>
          <w:u w:val="single"/>
        </w:rPr>
        <w:t>Document provisoire</w:t>
      </w:r>
    </w:p>
    <w:p w:rsidR="00195213" w:rsidRPr="008750E4" w:rsidRDefault="00195213" w:rsidP="00195213">
      <w:pPr>
        <w:jc w:val="center"/>
        <w:rPr>
          <w:rFonts w:ascii="Tahoma" w:hAnsi="Tahoma" w:cs="Tahoma"/>
          <w:sz w:val="24"/>
          <w:szCs w:val="24"/>
        </w:rPr>
      </w:pPr>
    </w:p>
    <w:p w:rsidR="00195213" w:rsidRDefault="00195213" w:rsidP="00195213">
      <w:pPr>
        <w:jc w:val="center"/>
        <w:rPr>
          <w:rFonts w:ascii="Tahoma" w:hAnsi="Tahoma" w:cs="Tahoma"/>
          <w:sz w:val="24"/>
          <w:szCs w:val="24"/>
        </w:rPr>
      </w:pPr>
    </w:p>
    <w:p w:rsidR="0018078D" w:rsidRDefault="0018078D" w:rsidP="00195213">
      <w:pPr>
        <w:jc w:val="center"/>
        <w:rPr>
          <w:rFonts w:ascii="Tahoma" w:hAnsi="Tahoma" w:cs="Tahoma"/>
          <w:sz w:val="24"/>
          <w:szCs w:val="24"/>
        </w:rPr>
      </w:pPr>
    </w:p>
    <w:p w:rsidR="0018078D" w:rsidRPr="008750E4" w:rsidRDefault="0018078D" w:rsidP="00195213">
      <w:pPr>
        <w:jc w:val="center"/>
        <w:rPr>
          <w:rFonts w:ascii="Tahoma" w:hAnsi="Tahoma" w:cs="Tahoma"/>
          <w:sz w:val="24"/>
          <w:szCs w:val="24"/>
        </w:rPr>
      </w:pPr>
    </w:p>
    <w:p w:rsidR="00195213" w:rsidRPr="008750E4" w:rsidRDefault="00195213" w:rsidP="00195213">
      <w:pPr>
        <w:jc w:val="center"/>
        <w:rPr>
          <w:rFonts w:ascii="Tahoma" w:hAnsi="Tahoma" w:cs="Tahoma"/>
          <w:sz w:val="24"/>
          <w:szCs w:val="24"/>
        </w:rPr>
      </w:pPr>
    </w:p>
    <w:p w:rsidR="00195213" w:rsidRPr="008750E4" w:rsidRDefault="00195213" w:rsidP="00195213">
      <w:pPr>
        <w:jc w:val="center"/>
        <w:rPr>
          <w:rFonts w:ascii="Tahoma" w:hAnsi="Tahoma" w:cs="Tahoma"/>
          <w:b/>
          <w:bCs/>
          <w:sz w:val="24"/>
          <w:szCs w:val="24"/>
        </w:rPr>
      </w:pPr>
      <w:r w:rsidRPr="008750E4">
        <w:rPr>
          <w:rFonts w:ascii="Tahoma" w:hAnsi="Tahoma" w:cs="Tahoma"/>
          <w:noProof/>
          <w:color w:val="00AEEF"/>
          <w:sz w:val="24"/>
          <w:szCs w:val="24"/>
          <w:lang w:eastAsia="fr-FR"/>
        </w:rPr>
        <w:drawing>
          <wp:inline distT="0" distB="0" distL="0" distR="0">
            <wp:extent cx="2305050" cy="409575"/>
            <wp:effectExtent l="19050" t="0" r="0" b="0"/>
            <wp:docPr id="52" name="Picture 3" descr="http://siteresources.worldbank.org/NEWS/Images/WBG-PovertyEquity-Horizontal-RGB-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eresources.worldbank.org/NEWS/Images/WBG-PovertyEquity-Horizontal-RGB-web.png"/>
                    <pic:cNvPicPr>
                      <a:picLocks noChangeAspect="1" noChangeArrowheads="1"/>
                    </pic:cNvPicPr>
                  </pic:nvPicPr>
                  <pic:blipFill>
                    <a:blip r:embed="rId7" r:link="rId8"/>
                    <a:srcRect/>
                    <a:stretch>
                      <a:fillRect/>
                    </a:stretch>
                  </pic:blipFill>
                  <pic:spPr bwMode="auto">
                    <a:xfrm>
                      <a:off x="0" y="0"/>
                      <a:ext cx="2313040" cy="410995"/>
                    </a:xfrm>
                    <a:prstGeom prst="rect">
                      <a:avLst/>
                    </a:prstGeom>
                    <a:noFill/>
                    <a:ln w="9525">
                      <a:noFill/>
                      <a:miter lim="800000"/>
                      <a:headEnd/>
                      <a:tailEnd/>
                    </a:ln>
                  </pic:spPr>
                </pic:pic>
              </a:graphicData>
            </a:graphic>
          </wp:inline>
        </w:drawing>
      </w:r>
    </w:p>
    <w:p w:rsidR="00195213" w:rsidRPr="008750E4" w:rsidRDefault="00195213" w:rsidP="00195213">
      <w:pPr>
        <w:pBdr>
          <w:top w:val="single" w:sz="4" w:space="1" w:color="auto"/>
          <w:left w:val="single" w:sz="4" w:space="4" w:color="auto"/>
          <w:bottom w:val="single" w:sz="4" w:space="1" w:color="auto"/>
          <w:right w:val="single" w:sz="4" w:space="4" w:color="auto"/>
        </w:pBdr>
        <w:jc w:val="both"/>
        <w:rPr>
          <w:rFonts w:ascii="Tahoma" w:hAnsi="Tahoma" w:cs="Tahoma"/>
          <w:b/>
          <w:sz w:val="24"/>
          <w:szCs w:val="24"/>
        </w:rPr>
      </w:pPr>
      <w:r w:rsidRPr="008750E4">
        <w:rPr>
          <w:rFonts w:ascii="Tahoma" w:hAnsi="Tahoma" w:cs="Tahoma"/>
          <w:b/>
          <w:sz w:val="24"/>
          <w:szCs w:val="24"/>
        </w:rPr>
        <w:br w:type="page"/>
      </w:r>
    </w:p>
    <w:p w:rsidR="00C84387" w:rsidRDefault="00C84387" w:rsidP="00195213">
      <w:pPr>
        <w:pStyle w:val="Titre1"/>
        <w:jc w:val="center"/>
      </w:pPr>
      <w:r w:rsidRPr="008750E4">
        <w:lastRenderedPageBreak/>
        <w:t>TABLEAU DE SYNTHÈSE DES INDICATEURS</w:t>
      </w:r>
    </w:p>
    <w:tbl>
      <w:tblPr>
        <w:tblpPr w:leftFromText="141" w:rightFromText="141" w:vertAnchor="text" w:horzAnchor="margin" w:tblpXSpec="center" w:tblpY="507"/>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5"/>
        <w:gridCol w:w="4552"/>
        <w:gridCol w:w="843"/>
        <w:gridCol w:w="838"/>
        <w:gridCol w:w="763"/>
        <w:gridCol w:w="803"/>
      </w:tblGrid>
      <w:tr w:rsidR="00C84387" w:rsidRPr="008750E4" w:rsidTr="00423E7A">
        <w:trPr>
          <w:trHeight w:val="218"/>
          <w:tblHeader/>
        </w:trPr>
        <w:tc>
          <w:tcPr>
            <w:tcW w:w="1935" w:type="dxa"/>
            <w:vMerge w:val="restart"/>
            <w:tcBorders>
              <w:top w:val="single" w:sz="24" w:space="0" w:color="auto"/>
              <w:left w:val="single" w:sz="24" w:space="0" w:color="auto"/>
            </w:tcBorders>
          </w:tcPr>
          <w:p w:rsidR="00C84387" w:rsidRPr="008750E4" w:rsidRDefault="00C84387" w:rsidP="00423E7A">
            <w:pPr>
              <w:spacing w:after="0" w:line="240" w:lineRule="auto"/>
              <w:jc w:val="center"/>
              <w:rPr>
                <w:rFonts w:ascii="Tahoma" w:hAnsi="Tahoma" w:cs="Tahoma"/>
                <w:b/>
                <w:sz w:val="20"/>
                <w:szCs w:val="20"/>
              </w:rPr>
            </w:pPr>
            <w:r w:rsidRPr="008750E4">
              <w:rPr>
                <w:rFonts w:ascii="Tahoma" w:hAnsi="Tahoma" w:cs="Tahoma"/>
                <w:b/>
                <w:bCs/>
                <w:sz w:val="20"/>
                <w:szCs w:val="20"/>
              </w:rPr>
              <w:t>Rubrique</w:t>
            </w:r>
          </w:p>
        </w:tc>
        <w:tc>
          <w:tcPr>
            <w:tcW w:w="4552" w:type="dxa"/>
            <w:vMerge w:val="restart"/>
            <w:tcBorders>
              <w:top w:val="single" w:sz="24" w:space="0" w:color="auto"/>
            </w:tcBorders>
          </w:tcPr>
          <w:p w:rsidR="00C84387" w:rsidRPr="008750E4" w:rsidRDefault="00C84387" w:rsidP="00423E7A">
            <w:pPr>
              <w:spacing w:after="0" w:line="240" w:lineRule="auto"/>
              <w:jc w:val="center"/>
              <w:rPr>
                <w:rFonts w:ascii="Tahoma" w:hAnsi="Tahoma" w:cs="Tahoma"/>
                <w:b/>
                <w:sz w:val="20"/>
                <w:szCs w:val="20"/>
              </w:rPr>
            </w:pPr>
            <w:r w:rsidRPr="008750E4">
              <w:rPr>
                <w:rFonts w:ascii="Tahoma" w:hAnsi="Tahoma" w:cs="Tahoma"/>
                <w:b/>
                <w:bCs/>
                <w:sz w:val="20"/>
                <w:szCs w:val="20"/>
              </w:rPr>
              <w:t>Indicateurs</w:t>
            </w:r>
          </w:p>
        </w:tc>
        <w:tc>
          <w:tcPr>
            <w:tcW w:w="3247" w:type="dxa"/>
            <w:gridSpan w:val="4"/>
            <w:tcBorders>
              <w:top w:val="single" w:sz="24" w:space="0" w:color="auto"/>
              <w:right w:val="single" w:sz="24" w:space="0" w:color="auto"/>
            </w:tcBorders>
          </w:tcPr>
          <w:p w:rsidR="00C84387" w:rsidRPr="008750E4" w:rsidRDefault="00C84387" w:rsidP="00423E7A">
            <w:pPr>
              <w:spacing w:after="0" w:line="240" w:lineRule="auto"/>
              <w:jc w:val="center"/>
              <w:rPr>
                <w:rFonts w:ascii="Tahoma" w:hAnsi="Tahoma" w:cs="Tahoma"/>
                <w:b/>
                <w:sz w:val="20"/>
                <w:szCs w:val="20"/>
              </w:rPr>
            </w:pPr>
            <w:r w:rsidRPr="008750E4">
              <w:rPr>
                <w:rFonts w:ascii="Tahoma" w:hAnsi="Tahoma" w:cs="Tahoma"/>
                <w:b/>
                <w:bCs/>
                <w:sz w:val="20"/>
                <w:szCs w:val="20"/>
              </w:rPr>
              <w:t>Valeur</w:t>
            </w:r>
            <w:r>
              <w:rPr>
                <w:rFonts w:ascii="Tahoma" w:hAnsi="Tahoma" w:cs="Tahoma"/>
                <w:b/>
                <w:bCs/>
                <w:sz w:val="20"/>
                <w:szCs w:val="20"/>
              </w:rPr>
              <w:t>s</w:t>
            </w:r>
          </w:p>
        </w:tc>
      </w:tr>
      <w:tr w:rsidR="00C84387" w:rsidRPr="008750E4" w:rsidTr="00423E7A">
        <w:trPr>
          <w:trHeight w:val="434"/>
          <w:tblHeader/>
        </w:trPr>
        <w:tc>
          <w:tcPr>
            <w:tcW w:w="1935" w:type="dxa"/>
            <w:vMerge/>
            <w:tcBorders>
              <w:left w:val="single" w:sz="24" w:space="0" w:color="auto"/>
            </w:tcBorders>
          </w:tcPr>
          <w:p w:rsidR="00C84387" w:rsidRPr="008750E4" w:rsidRDefault="00C84387" w:rsidP="00423E7A">
            <w:pPr>
              <w:spacing w:after="0" w:line="240" w:lineRule="auto"/>
              <w:jc w:val="center"/>
              <w:rPr>
                <w:rFonts w:ascii="Tahoma" w:hAnsi="Tahoma" w:cs="Tahoma"/>
                <w:bCs/>
                <w:sz w:val="20"/>
                <w:szCs w:val="20"/>
              </w:rPr>
            </w:pPr>
          </w:p>
        </w:tc>
        <w:tc>
          <w:tcPr>
            <w:tcW w:w="4552" w:type="dxa"/>
            <w:vMerge/>
          </w:tcPr>
          <w:p w:rsidR="00C84387" w:rsidRPr="008750E4" w:rsidRDefault="00C84387" w:rsidP="00423E7A">
            <w:pPr>
              <w:spacing w:after="0" w:line="240" w:lineRule="auto"/>
              <w:jc w:val="center"/>
              <w:rPr>
                <w:rFonts w:ascii="Tahoma" w:hAnsi="Tahoma" w:cs="Tahoma"/>
                <w:bCs/>
                <w:sz w:val="20"/>
                <w:szCs w:val="20"/>
              </w:rPr>
            </w:pPr>
          </w:p>
        </w:tc>
        <w:tc>
          <w:tcPr>
            <w:tcW w:w="843" w:type="dxa"/>
          </w:tcPr>
          <w:p w:rsidR="00C84387" w:rsidRPr="008750E4" w:rsidRDefault="00C84387" w:rsidP="00423E7A">
            <w:pPr>
              <w:spacing w:after="0" w:line="240" w:lineRule="auto"/>
              <w:rPr>
                <w:rFonts w:ascii="Tahoma" w:hAnsi="Tahoma" w:cs="Tahoma"/>
                <w:sz w:val="20"/>
                <w:szCs w:val="20"/>
              </w:rPr>
            </w:pPr>
            <w:r w:rsidRPr="008750E4">
              <w:rPr>
                <w:rFonts w:ascii="Tahoma" w:hAnsi="Tahoma" w:cs="Tahoma"/>
                <w:sz w:val="20"/>
                <w:szCs w:val="20"/>
              </w:rPr>
              <w:t>Dakar</w:t>
            </w:r>
          </w:p>
        </w:tc>
        <w:tc>
          <w:tcPr>
            <w:tcW w:w="838" w:type="dxa"/>
          </w:tcPr>
          <w:p w:rsidR="00C84387" w:rsidRPr="008750E4" w:rsidRDefault="00C84387" w:rsidP="00423E7A">
            <w:pPr>
              <w:spacing w:after="0" w:line="240" w:lineRule="auto"/>
              <w:jc w:val="center"/>
              <w:rPr>
                <w:rFonts w:ascii="Tahoma" w:hAnsi="Tahoma" w:cs="Tahoma"/>
                <w:sz w:val="20"/>
                <w:szCs w:val="20"/>
              </w:rPr>
            </w:pPr>
            <w:r w:rsidRPr="008750E4">
              <w:rPr>
                <w:rFonts w:ascii="Tahoma" w:hAnsi="Tahoma" w:cs="Tahoma"/>
                <w:sz w:val="20"/>
                <w:szCs w:val="20"/>
              </w:rPr>
              <w:t>Autres villes</w:t>
            </w:r>
          </w:p>
        </w:tc>
        <w:tc>
          <w:tcPr>
            <w:tcW w:w="763" w:type="dxa"/>
          </w:tcPr>
          <w:p w:rsidR="00C84387" w:rsidRPr="008750E4" w:rsidRDefault="00C84387" w:rsidP="00423E7A">
            <w:pPr>
              <w:spacing w:after="0" w:line="240" w:lineRule="auto"/>
              <w:rPr>
                <w:rFonts w:ascii="Tahoma" w:hAnsi="Tahoma" w:cs="Tahoma"/>
                <w:sz w:val="20"/>
                <w:szCs w:val="20"/>
              </w:rPr>
            </w:pPr>
            <w:r w:rsidRPr="008750E4">
              <w:rPr>
                <w:rFonts w:ascii="Tahoma" w:hAnsi="Tahoma" w:cs="Tahoma"/>
                <w:sz w:val="20"/>
                <w:szCs w:val="20"/>
              </w:rPr>
              <w:t>Rural</w:t>
            </w:r>
          </w:p>
        </w:tc>
        <w:tc>
          <w:tcPr>
            <w:tcW w:w="803" w:type="dxa"/>
            <w:tcBorders>
              <w:right w:val="single" w:sz="24" w:space="0" w:color="auto"/>
            </w:tcBorders>
            <w:tcMar>
              <w:left w:w="0" w:type="dxa"/>
              <w:right w:w="0" w:type="dxa"/>
            </w:tcMar>
          </w:tcPr>
          <w:p w:rsidR="00C84387" w:rsidRPr="008750E4" w:rsidRDefault="00C84387" w:rsidP="00423E7A">
            <w:pPr>
              <w:spacing w:after="0" w:line="240" w:lineRule="auto"/>
              <w:rPr>
                <w:rFonts w:ascii="Tahoma" w:hAnsi="Tahoma" w:cs="Tahoma"/>
                <w:sz w:val="20"/>
                <w:szCs w:val="20"/>
              </w:rPr>
            </w:pPr>
            <w:r w:rsidRPr="008750E4">
              <w:rPr>
                <w:rFonts w:ascii="Tahoma" w:hAnsi="Tahoma" w:cs="Tahoma"/>
                <w:sz w:val="20"/>
                <w:szCs w:val="20"/>
              </w:rPr>
              <w:t>Sénégal</w:t>
            </w:r>
          </w:p>
        </w:tc>
      </w:tr>
      <w:tr w:rsidR="00C84387" w:rsidRPr="008750E4" w:rsidTr="00423E7A">
        <w:trPr>
          <w:trHeight w:val="195"/>
        </w:trPr>
        <w:tc>
          <w:tcPr>
            <w:tcW w:w="9734" w:type="dxa"/>
            <w:gridSpan w:val="6"/>
            <w:tcBorders>
              <w:left w:val="single" w:sz="24" w:space="0" w:color="auto"/>
              <w:right w:val="single" w:sz="24" w:space="0" w:color="auto"/>
            </w:tcBorders>
            <w:shd w:val="pct25" w:color="auto" w:fill="auto"/>
          </w:tcPr>
          <w:p w:rsidR="00C84387" w:rsidRPr="008750E4" w:rsidRDefault="00C84387" w:rsidP="00423E7A">
            <w:pPr>
              <w:spacing w:after="0" w:line="240" w:lineRule="auto"/>
              <w:jc w:val="center"/>
              <w:rPr>
                <w:rFonts w:ascii="Tahoma" w:hAnsi="Tahoma" w:cs="Tahoma"/>
                <w:sz w:val="20"/>
                <w:szCs w:val="20"/>
              </w:rPr>
            </w:pPr>
            <w:r w:rsidRPr="008750E4">
              <w:rPr>
                <w:rFonts w:ascii="Tahoma" w:hAnsi="Tahoma" w:cs="Tahoma"/>
                <w:b/>
                <w:bCs/>
                <w:iCs/>
                <w:sz w:val="20"/>
                <w:szCs w:val="20"/>
                <w:shd w:val="pct25" w:color="auto" w:fill="auto"/>
              </w:rPr>
              <w:t>INDIVIDUS</w:t>
            </w:r>
          </w:p>
        </w:tc>
      </w:tr>
      <w:tr w:rsidR="00C84387" w:rsidRPr="008750E4" w:rsidTr="00423E7A">
        <w:trPr>
          <w:trHeight w:val="212"/>
        </w:trPr>
        <w:tc>
          <w:tcPr>
            <w:tcW w:w="1935" w:type="dxa"/>
            <w:tcBorders>
              <w:left w:val="single" w:sz="24" w:space="0" w:color="auto"/>
            </w:tcBorders>
            <w:vAlign w:val="center"/>
          </w:tcPr>
          <w:p w:rsidR="00C84387" w:rsidRPr="008750E4" w:rsidRDefault="00C84387" w:rsidP="00423E7A">
            <w:pPr>
              <w:spacing w:after="0" w:line="240" w:lineRule="auto"/>
              <w:rPr>
                <w:rFonts w:ascii="Tahoma" w:hAnsi="Tahoma" w:cs="Tahoma"/>
                <w:b/>
                <w:bCs/>
                <w:sz w:val="20"/>
                <w:szCs w:val="20"/>
              </w:rPr>
            </w:pPr>
            <w:r w:rsidRPr="008750E4">
              <w:rPr>
                <w:rFonts w:ascii="Tahoma" w:hAnsi="Tahoma" w:cs="Tahoma"/>
                <w:b/>
                <w:bCs/>
                <w:sz w:val="20"/>
                <w:szCs w:val="20"/>
              </w:rPr>
              <w:t>Alphabétisation</w:t>
            </w:r>
          </w:p>
        </w:tc>
        <w:tc>
          <w:tcPr>
            <w:tcW w:w="4552" w:type="dxa"/>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Taux d’alphabétisation (15ans et plus)</w:t>
            </w:r>
          </w:p>
        </w:tc>
        <w:tc>
          <w:tcPr>
            <w:tcW w:w="843" w:type="dxa"/>
          </w:tcPr>
          <w:p w:rsidR="00C84387" w:rsidRDefault="00C84387" w:rsidP="00423E7A">
            <w:pPr>
              <w:widowControl w:val="0"/>
              <w:autoSpaceDE w:val="0"/>
              <w:autoSpaceDN w:val="0"/>
              <w:adjustRightInd w:val="0"/>
              <w:spacing w:after="0" w:line="240" w:lineRule="auto"/>
              <w:jc w:val="center"/>
              <w:rPr>
                <w:rFonts w:ascii="Tahoma" w:hAnsi="Tahoma" w:cs="Tahoma"/>
                <w:sz w:val="20"/>
                <w:szCs w:val="20"/>
              </w:rPr>
            </w:pPr>
            <w:r w:rsidRPr="008750E4">
              <w:rPr>
                <w:rFonts w:ascii="Tahoma" w:hAnsi="Tahoma" w:cs="Tahoma"/>
                <w:sz w:val="20"/>
                <w:szCs w:val="20"/>
              </w:rPr>
              <w:t>72,1</w:t>
            </w:r>
          </w:p>
        </w:tc>
        <w:tc>
          <w:tcPr>
            <w:tcW w:w="838" w:type="dxa"/>
          </w:tcPr>
          <w:p w:rsidR="00C84387" w:rsidRDefault="00C84387" w:rsidP="00423E7A">
            <w:pPr>
              <w:widowControl w:val="0"/>
              <w:autoSpaceDE w:val="0"/>
              <w:autoSpaceDN w:val="0"/>
              <w:adjustRightInd w:val="0"/>
              <w:spacing w:after="0" w:line="240" w:lineRule="auto"/>
              <w:jc w:val="center"/>
              <w:rPr>
                <w:rFonts w:ascii="Tahoma" w:hAnsi="Tahoma" w:cs="Tahoma"/>
                <w:sz w:val="20"/>
                <w:szCs w:val="20"/>
              </w:rPr>
            </w:pPr>
            <w:r w:rsidRPr="008750E4">
              <w:rPr>
                <w:rFonts w:ascii="Tahoma" w:hAnsi="Tahoma" w:cs="Tahoma"/>
                <w:sz w:val="20"/>
                <w:szCs w:val="20"/>
              </w:rPr>
              <w:t>59,0</w:t>
            </w:r>
          </w:p>
        </w:tc>
        <w:tc>
          <w:tcPr>
            <w:tcW w:w="763" w:type="dxa"/>
          </w:tcPr>
          <w:p w:rsidR="00C84387" w:rsidRDefault="00C84387" w:rsidP="00423E7A">
            <w:pPr>
              <w:widowControl w:val="0"/>
              <w:autoSpaceDE w:val="0"/>
              <w:autoSpaceDN w:val="0"/>
              <w:adjustRightInd w:val="0"/>
              <w:spacing w:after="0" w:line="240" w:lineRule="auto"/>
              <w:jc w:val="center"/>
              <w:rPr>
                <w:rFonts w:ascii="Tahoma" w:hAnsi="Tahoma" w:cs="Tahoma"/>
                <w:sz w:val="20"/>
                <w:szCs w:val="20"/>
              </w:rPr>
            </w:pPr>
            <w:r w:rsidRPr="008750E4">
              <w:rPr>
                <w:rFonts w:ascii="Tahoma" w:hAnsi="Tahoma" w:cs="Tahoma"/>
                <w:sz w:val="20"/>
                <w:szCs w:val="20"/>
              </w:rPr>
              <w:t>39,0</w:t>
            </w:r>
          </w:p>
        </w:tc>
        <w:tc>
          <w:tcPr>
            <w:tcW w:w="803" w:type="dxa"/>
            <w:tcBorders>
              <w:right w:val="single" w:sz="24" w:space="0" w:color="auto"/>
            </w:tcBorders>
          </w:tcPr>
          <w:p w:rsidR="00C84387" w:rsidRDefault="00C84387" w:rsidP="00423E7A">
            <w:pPr>
              <w:widowControl w:val="0"/>
              <w:autoSpaceDE w:val="0"/>
              <w:autoSpaceDN w:val="0"/>
              <w:adjustRightInd w:val="0"/>
              <w:spacing w:after="0" w:line="240" w:lineRule="auto"/>
              <w:jc w:val="center"/>
              <w:rPr>
                <w:rFonts w:ascii="Tahoma" w:hAnsi="Tahoma" w:cs="Tahoma"/>
                <w:sz w:val="20"/>
                <w:szCs w:val="20"/>
              </w:rPr>
            </w:pPr>
            <w:r w:rsidRPr="008750E4">
              <w:rPr>
                <w:rFonts w:ascii="Tahoma" w:hAnsi="Tahoma" w:cs="Tahoma"/>
                <w:sz w:val="20"/>
                <w:szCs w:val="20"/>
              </w:rPr>
              <w:t>52,9</w:t>
            </w:r>
          </w:p>
        </w:tc>
      </w:tr>
      <w:tr w:rsidR="00C84387" w:rsidRPr="008750E4" w:rsidTr="00423E7A">
        <w:trPr>
          <w:trHeight w:val="274"/>
        </w:trPr>
        <w:tc>
          <w:tcPr>
            <w:tcW w:w="1935" w:type="dxa"/>
            <w:vMerge w:val="restart"/>
            <w:tcBorders>
              <w:left w:val="single" w:sz="24" w:space="0" w:color="auto"/>
            </w:tcBorders>
            <w:vAlign w:val="center"/>
          </w:tcPr>
          <w:p w:rsidR="00C84387" w:rsidRPr="008750E4" w:rsidRDefault="00C84387" w:rsidP="00423E7A">
            <w:pPr>
              <w:spacing w:after="0" w:line="240" w:lineRule="auto"/>
              <w:rPr>
                <w:rFonts w:ascii="Tahoma" w:hAnsi="Tahoma" w:cs="Tahoma"/>
                <w:b/>
                <w:bCs/>
                <w:sz w:val="20"/>
                <w:szCs w:val="20"/>
              </w:rPr>
            </w:pPr>
            <w:r w:rsidRPr="008750E4">
              <w:rPr>
                <w:rFonts w:ascii="Tahoma" w:hAnsi="Tahoma" w:cs="Tahoma"/>
                <w:b/>
                <w:bCs/>
                <w:sz w:val="20"/>
                <w:szCs w:val="20"/>
              </w:rPr>
              <w:t>Education</w:t>
            </w:r>
          </w:p>
        </w:tc>
        <w:tc>
          <w:tcPr>
            <w:tcW w:w="4552" w:type="dxa"/>
          </w:tcPr>
          <w:p w:rsidR="00C84387" w:rsidRPr="008750E4" w:rsidRDefault="0049544F" w:rsidP="00423E7A">
            <w:pPr>
              <w:widowControl w:val="0"/>
              <w:autoSpaceDE w:val="0"/>
              <w:autoSpaceDN w:val="0"/>
              <w:adjustRightInd w:val="0"/>
              <w:spacing w:after="0" w:line="240" w:lineRule="auto"/>
              <w:rPr>
                <w:rFonts w:ascii="Tahoma" w:hAnsi="Tahoma" w:cs="Tahoma"/>
                <w:sz w:val="20"/>
                <w:szCs w:val="20"/>
              </w:rPr>
            </w:pPr>
            <w:r>
              <w:rPr>
                <w:rFonts w:ascii="Tahoma" w:hAnsi="Tahoma" w:cs="Tahoma"/>
                <w:sz w:val="20"/>
                <w:szCs w:val="20"/>
              </w:rPr>
              <w:t>Taux</w:t>
            </w:r>
            <w:r w:rsidR="00C84387" w:rsidRPr="008750E4">
              <w:rPr>
                <w:rFonts w:ascii="Tahoma" w:hAnsi="Tahoma" w:cs="Tahoma"/>
                <w:sz w:val="20"/>
                <w:szCs w:val="20"/>
              </w:rPr>
              <w:t xml:space="preserve"> brut de scolarisation au primaire</w:t>
            </w:r>
          </w:p>
        </w:tc>
        <w:tc>
          <w:tcPr>
            <w:tcW w:w="843" w:type="dxa"/>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100,2</w:t>
            </w:r>
          </w:p>
        </w:tc>
        <w:tc>
          <w:tcPr>
            <w:tcW w:w="838" w:type="dxa"/>
          </w:tcPr>
          <w:p w:rsidR="00C84387" w:rsidRDefault="00C84387" w:rsidP="00423E7A">
            <w:pPr>
              <w:widowControl w:val="0"/>
              <w:autoSpaceDE w:val="0"/>
              <w:autoSpaceDN w:val="0"/>
              <w:adjustRightInd w:val="0"/>
              <w:spacing w:after="0" w:line="240" w:lineRule="auto"/>
              <w:jc w:val="center"/>
              <w:rPr>
                <w:rFonts w:ascii="Tahoma" w:hAnsi="Tahoma" w:cs="Tahoma"/>
                <w:sz w:val="20"/>
                <w:szCs w:val="20"/>
              </w:rPr>
            </w:pPr>
            <w:r w:rsidRPr="008750E4">
              <w:rPr>
                <w:rFonts w:ascii="Tahoma" w:hAnsi="Tahoma" w:cs="Tahoma"/>
                <w:sz w:val="20"/>
                <w:szCs w:val="20"/>
              </w:rPr>
              <w:t>95,8</w:t>
            </w:r>
          </w:p>
        </w:tc>
        <w:tc>
          <w:tcPr>
            <w:tcW w:w="763" w:type="dxa"/>
          </w:tcPr>
          <w:p w:rsidR="00C84387" w:rsidRDefault="00C84387" w:rsidP="00423E7A">
            <w:pPr>
              <w:widowControl w:val="0"/>
              <w:autoSpaceDE w:val="0"/>
              <w:autoSpaceDN w:val="0"/>
              <w:adjustRightInd w:val="0"/>
              <w:spacing w:after="0" w:line="240" w:lineRule="auto"/>
              <w:jc w:val="center"/>
              <w:rPr>
                <w:rFonts w:ascii="Tahoma" w:hAnsi="Tahoma" w:cs="Tahoma"/>
                <w:sz w:val="20"/>
                <w:szCs w:val="20"/>
              </w:rPr>
            </w:pPr>
            <w:r w:rsidRPr="008750E4">
              <w:rPr>
                <w:rFonts w:ascii="Tahoma" w:hAnsi="Tahoma" w:cs="Tahoma"/>
                <w:sz w:val="20"/>
                <w:szCs w:val="20"/>
              </w:rPr>
              <w:t>74,9</w:t>
            </w:r>
          </w:p>
        </w:tc>
        <w:tc>
          <w:tcPr>
            <w:tcW w:w="803" w:type="dxa"/>
            <w:tcBorders>
              <w:right w:val="single" w:sz="24" w:space="0" w:color="auto"/>
            </w:tcBorders>
          </w:tcPr>
          <w:p w:rsidR="00C84387" w:rsidRDefault="00C84387" w:rsidP="00423E7A">
            <w:pPr>
              <w:widowControl w:val="0"/>
              <w:autoSpaceDE w:val="0"/>
              <w:autoSpaceDN w:val="0"/>
              <w:adjustRightInd w:val="0"/>
              <w:spacing w:after="0" w:line="240" w:lineRule="auto"/>
              <w:jc w:val="center"/>
              <w:rPr>
                <w:rFonts w:ascii="Tahoma" w:hAnsi="Tahoma" w:cs="Tahoma"/>
                <w:sz w:val="20"/>
                <w:szCs w:val="20"/>
              </w:rPr>
            </w:pPr>
            <w:r w:rsidRPr="008750E4">
              <w:rPr>
                <w:rFonts w:ascii="Tahoma" w:hAnsi="Tahoma" w:cs="Tahoma"/>
                <w:sz w:val="20"/>
                <w:szCs w:val="20"/>
              </w:rPr>
              <w:t>83,9</w:t>
            </w:r>
          </w:p>
        </w:tc>
      </w:tr>
      <w:tr w:rsidR="00C84387" w:rsidRPr="008750E4" w:rsidTr="00423E7A">
        <w:trPr>
          <w:trHeight w:val="324"/>
        </w:trPr>
        <w:tc>
          <w:tcPr>
            <w:tcW w:w="1935" w:type="dxa"/>
            <w:vMerge/>
            <w:tcBorders>
              <w:left w:val="single" w:sz="24" w:space="0" w:color="auto"/>
            </w:tcBorders>
            <w:vAlign w:val="center"/>
          </w:tcPr>
          <w:p w:rsidR="00C84387" w:rsidRPr="008750E4" w:rsidRDefault="00C84387" w:rsidP="00423E7A">
            <w:pPr>
              <w:spacing w:after="0" w:line="240" w:lineRule="auto"/>
              <w:rPr>
                <w:rFonts w:ascii="Tahoma" w:hAnsi="Tahoma" w:cs="Tahoma"/>
                <w:b/>
                <w:sz w:val="20"/>
                <w:szCs w:val="20"/>
              </w:rPr>
            </w:pPr>
          </w:p>
        </w:tc>
        <w:tc>
          <w:tcPr>
            <w:tcW w:w="4552" w:type="dxa"/>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Taux net de scolarisation au primaire</w:t>
            </w:r>
          </w:p>
        </w:tc>
        <w:tc>
          <w:tcPr>
            <w:tcW w:w="843" w:type="dxa"/>
            <w:tcMar>
              <w:left w:w="0" w:type="dxa"/>
              <w:right w:w="0" w:type="dxa"/>
            </w:tcMar>
          </w:tcPr>
          <w:p w:rsidR="00C84387" w:rsidRPr="008750E4" w:rsidRDefault="00C84387" w:rsidP="00423E7A">
            <w:pPr>
              <w:widowControl w:val="0"/>
              <w:autoSpaceDE w:val="0"/>
              <w:autoSpaceDN w:val="0"/>
              <w:adjustRightInd w:val="0"/>
              <w:spacing w:after="0" w:line="240" w:lineRule="auto"/>
              <w:jc w:val="center"/>
              <w:rPr>
                <w:rFonts w:ascii="Tahoma" w:hAnsi="Tahoma" w:cs="Tahoma"/>
                <w:sz w:val="20"/>
                <w:szCs w:val="20"/>
              </w:rPr>
            </w:pPr>
            <w:r w:rsidRPr="008750E4">
              <w:rPr>
                <w:rFonts w:ascii="Tahoma" w:hAnsi="Tahoma" w:cs="Tahoma"/>
                <w:sz w:val="20"/>
                <w:szCs w:val="20"/>
              </w:rPr>
              <w:t>77,6</w:t>
            </w:r>
          </w:p>
        </w:tc>
        <w:tc>
          <w:tcPr>
            <w:tcW w:w="838" w:type="dxa"/>
          </w:tcPr>
          <w:p w:rsidR="00C84387" w:rsidRDefault="00C84387" w:rsidP="00423E7A">
            <w:pPr>
              <w:widowControl w:val="0"/>
              <w:autoSpaceDE w:val="0"/>
              <w:autoSpaceDN w:val="0"/>
              <w:adjustRightInd w:val="0"/>
              <w:spacing w:after="0" w:line="240" w:lineRule="auto"/>
              <w:jc w:val="center"/>
              <w:rPr>
                <w:rFonts w:ascii="Tahoma" w:hAnsi="Tahoma" w:cs="Tahoma"/>
                <w:sz w:val="20"/>
                <w:szCs w:val="20"/>
              </w:rPr>
            </w:pPr>
            <w:r w:rsidRPr="008750E4">
              <w:rPr>
                <w:rFonts w:ascii="Tahoma" w:hAnsi="Tahoma" w:cs="Tahoma"/>
                <w:sz w:val="20"/>
                <w:szCs w:val="20"/>
              </w:rPr>
              <w:t>74,3</w:t>
            </w:r>
          </w:p>
        </w:tc>
        <w:tc>
          <w:tcPr>
            <w:tcW w:w="763" w:type="dxa"/>
          </w:tcPr>
          <w:p w:rsidR="00C84387" w:rsidRDefault="00C84387" w:rsidP="00423E7A">
            <w:pPr>
              <w:widowControl w:val="0"/>
              <w:autoSpaceDE w:val="0"/>
              <w:autoSpaceDN w:val="0"/>
              <w:adjustRightInd w:val="0"/>
              <w:spacing w:after="0" w:line="240" w:lineRule="auto"/>
              <w:jc w:val="center"/>
              <w:rPr>
                <w:rFonts w:ascii="Tahoma" w:hAnsi="Tahoma" w:cs="Tahoma"/>
                <w:sz w:val="20"/>
                <w:szCs w:val="20"/>
              </w:rPr>
            </w:pPr>
            <w:r w:rsidRPr="008750E4">
              <w:rPr>
                <w:rFonts w:ascii="Tahoma" w:hAnsi="Tahoma" w:cs="Tahoma"/>
                <w:sz w:val="20"/>
                <w:szCs w:val="20"/>
              </w:rPr>
              <w:t>52,1</w:t>
            </w:r>
          </w:p>
        </w:tc>
        <w:tc>
          <w:tcPr>
            <w:tcW w:w="803" w:type="dxa"/>
            <w:tcBorders>
              <w:right w:val="single" w:sz="24" w:space="0" w:color="auto"/>
            </w:tcBorders>
          </w:tcPr>
          <w:p w:rsidR="00C84387" w:rsidRDefault="00C84387" w:rsidP="00423E7A">
            <w:pPr>
              <w:widowControl w:val="0"/>
              <w:autoSpaceDE w:val="0"/>
              <w:autoSpaceDN w:val="0"/>
              <w:adjustRightInd w:val="0"/>
              <w:spacing w:after="0" w:line="240" w:lineRule="auto"/>
              <w:jc w:val="center"/>
              <w:rPr>
                <w:rFonts w:ascii="Tahoma" w:hAnsi="Tahoma" w:cs="Tahoma"/>
                <w:sz w:val="20"/>
                <w:szCs w:val="20"/>
              </w:rPr>
            </w:pPr>
            <w:r w:rsidRPr="008750E4">
              <w:rPr>
                <w:rFonts w:ascii="Tahoma" w:hAnsi="Tahoma" w:cs="Tahoma"/>
                <w:sz w:val="20"/>
                <w:szCs w:val="20"/>
              </w:rPr>
              <w:t>61,4</w:t>
            </w:r>
          </w:p>
        </w:tc>
      </w:tr>
      <w:tr w:rsidR="00C84387" w:rsidRPr="008750E4" w:rsidTr="00423E7A">
        <w:trPr>
          <w:trHeight w:val="515"/>
        </w:trPr>
        <w:tc>
          <w:tcPr>
            <w:tcW w:w="1935" w:type="dxa"/>
            <w:tcBorders>
              <w:left w:val="single" w:sz="24" w:space="0" w:color="auto"/>
            </w:tcBorders>
            <w:vAlign w:val="center"/>
          </w:tcPr>
          <w:p w:rsidR="00C84387" w:rsidRPr="008750E4" w:rsidRDefault="00C84387" w:rsidP="00423E7A">
            <w:pPr>
              <w:spacing w:after="0" w:line="240" w:lineRule="auto"/>
              <w:rPr>
                <w:rFonts w:ascii="Tahoma" w:hAnsi="Tahoma" w:cs="Tahoma"/>
                <w:b/>
                <w:bCs/>
                <w:sz w:val="20"/>
                <w:szCs w:val="20"/>
              </w:rPr>
            </w:pPr>
            <w:r w:rsidRPr="008750E4">
              <w:rPr>
                <w:rFonts w:ascii="Tahoma" w:hAnsi="Tahoma" w:cs="Tahoma"/>
                <w:b/>
                <w:bCs/>
                <w:sz w:val="20"/>
                <w:szCs w:val="20"/>
              </w:rPr>
              <w:t>Santé</w:t>
            </w:r>
          </w:p>
        </w:tc>
        <w:tc>
          <w:tcPr>
            <w:tcW w:w="4552" w:type="dxa"/>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Taux de morbidité au cours des quatre dernières semaines précédant l’interview</w:t>
            </w:r>
          </w:p>
        </w:tc>
        <w:tc>
          <w:tcPr>
            <w:tcW w:w="843" w:type="dxa"/>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43,24</w:t>
            </w:r>
          </w:p>
        </w:tc>
        <w:tc>
          <w:tcPr>
            <w:tcW w:w="838" w:type="dxa"/>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52,01</w:t>
            </w:r>
          </w:p>
        </w:tc>
        <w:tc>
          <w:tcPr>
            <w:tcW w:w="763" w:type="dxa"/>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46,94</w:t>
            </w:r>
          </w:p>
        </w:tc>
        <w:tc>
          <w:tcPr>
            <w:tcW w:w="803" w:type="dxa"/>
            <w:tcBorders>
              <w:right w:val="single" w:sz="24" w:space="0" w:color="auto"/>
            </w:tcBorders>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47,06</w:t>
            </w:r>
          </w:p>
        </w:tc>
      </w:tr>
      <w:tr w:rsidR="00C84387" w:rsidRPr="008750E4" w:rsidTr="00423E7A">
        <w:trPr>
          <w:trHeight w:val="279"/>
        </w:trPr>
        <w:tc>
          <w:tcPr>
            <w:tcW w:w="9734" w:type="dxa"/>
            <w:gridSpan w:val="6"/>
            <w:tcBorders>
              <w:left w:val="single" w:sz="24" w:space="0" w:color="auto"/>
              <w:right w:val="single" w:sz="24" w:space="0" w:color="auto"/>
            </w:tcBorders>
            <w:shd w:val="pct25" w:color="auto" w:fill="auto"/>
          </w:tcPr>
          <w:p w:rsidR="00C84387" w:rsidRPr="008750E4" w:rsidRDefault="00C84387" w:rsidP="00423E7A">
            <w:pPr>
              <w:spacing w:after="0" w:line="240" w:lineRule="auto"/>
              <w:jc w:val="center"/>
              <w:rPr>
                <w:rFonts w:ascii="Tahoma" w:hAnsi="Tahoma" w:cs="Tahoma"/>
                <w:b/>
                <w:sz w:val="20"/>
                <w:szCs w:val="20"/>
              </w:rPr>
            </w:pPr>
            <w:r w:rsidRPr="008750E4">
              <w:rPr>
                <w:rFonts w:ascii="Tahoma" w:hAnsi="Tahoma" w:cs="Tahoma"/>
                <w:b/>
                <w:bCs/>
                <w:iCs/>
                <w:sz w:val="20"/>
                <w:szCs w:val="20"/>
              </w:rPr>
              <w:t>MENAGES : CARACTERISTIQUES ET PATRIMOINE</w:t>
            </w:r>
          </w:p>
        </w:tc>
      </w:tr>
      <w:tr w:rsidR="00C84387" w:rsidRPr="008750E4" w:rsidTr="00423E7A">
        <w:trPr>
          <w:trHeight w:val="421"/>
        </w:trPr>
        <w:tc>
          <w:tcPr>
            <w:tcW w:w="1935" w:type="dxa"/>
            <w:vMerge w:val="restart"/>
            <w:tcBorders>
              <w:left w:val="single" w:sz="24" w:space="0" w:color="auto"/>
            </w:tcBorders>
            <w:vAlign w:val="center"/>
          </w:tcPr>
          <w:p w:rsidR="00C84387" w:rsidRPr="008750E4" w:rsidRDefault="00C84387" w:rsidP="00423E7A">
            <w:pPr>
              <w:spacing w:after="0" w:line="240" w:lineRule="auto"/>
              <w:rPr>
                <w:rFonts w:ascii="Tahoma" w:hAnsi="Tahoma" w:cs="Tahoma"/>
                <w:b/>
                <w:sz w:val="20"/>
                <w:szCs w:val="20"/>
              </w:rPr>
            </w:pPr>
            <w:r w:rsidRPr="008750E4">
              <w:rPr>
                <w:rFonts w:ascii="Tahoma" w:hAnsi="Tahoma" w:cs="Tahoma"/>
                <w:b/>
                <w:bCs/>
                <w:sz w:val="20"/>
                <w:szCs w:val="20"/>
              </w:rPr>
              <w:t>Caractéristiques des ménages</w:t>
            </w:r>
          </w:p>
        </w:tc>
        <w:tc>
          <w:tcPr>
            <w:tcW w:w="4552" w:type="dxa"/>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Pourcentage de ménages disposant d’un robinet intérieur</w:t>
            </w:r>
          </w:p>
        </w:tc>
        <w:tc>
          <w:tcPr>
            <w:tcW w:w="843" w:type="dxa"/>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59,01</w:t>
            </w:r>
          </w:p>
        </w:tc>
        <w:tc>
          <w:tcPr>
            <w:tcW w:w="838" w:type="dxa"/>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59,65</w:t>
            </w:r>
          </w:p>
        </w:tc>
        <w:tc>
          <w:tcPr>
            <w:tcW w:w="763" w:type="dxa"/>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34,9</w:t>
            </w:r>
          </w:p>
        </w:tc>
        <w:tc>
          <w:tcPr>
            <w:tcW w:w="803" w:type="dxa"/>
            <w:tcBorders>
              <w:right w:val="single" w:sz="24" w:space="0" w:color="auto"/>
            </w:tcBorders>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47,54</w:t>
            </w:r>
          </w:p>
        </w:tc>
      </w:tr>
      <w:tr w:rsidR="00C84387" w:rsidRPr="008750E4" w:rsidTr="00423E7A">
        <w:trPr>
          <w:trHeight w:val="485"/>
        </w:trPr>
        <w:tc>
          <w:tcPr>
            <w:tcW w:w="1935" w:type="dxa"/>
            <w:vMerge/>
            <w:tcBorders>
              <w:left w:val="single" w:sz="24" w:space="0" w:color="auto"/>
            </w:tcBorders>
          </w:tcPr>
          <w:p w:rsidR="00C84387" w:rsidRPr="008750E4" w:rsidRDefault="00C84387" w:rsidP="00423E7A">
            <w:pPr>
              <w:spacing w:after="0" w:line="240" w:lineRule="auto"/>
              <w:rPr>
                <w:rFonts w:ascii="Tahoma" w:hAnsi="Tahoma" w:cs="Tahoma"/>
                <w:sz w:val="20"/>
                <w:szCs w:val="20"/>
              </w:rPr>
            </w:pPr>
          </w:p>
        </w:tc>
        <w:tc>
          <w:tcPr>
            <w:tcW w:w="4552" w:type="dxa"/>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Pr>
                <w:rFonts w:ascii="Tahoma" w:hAnsi="Tahoma" w:cs="Tahoma"/>
                <w:sz w:val="20"/>
                <w:szCs w:val="20"/>
              </w:rPr>
              <w:t>Pourcentage de ménages consommant</w:t>
            </w:r>
            <w:r w:rsidRPr="008750E4">
              <w:rPr>
                <w:rFonts w:ascii="Tahoma" w:hAnsi="Tahoma" w:cs="Tahoma"/>
                <w:sz w:val="20"/>
                <w:szCs w:val="20"/>
              </w:rPr>
              <w:t xml:space="preserve"> l’eau de robinet (intérieur, extérieur)</w:t>
            </w:r>
          </w:p>
        </w:tc>
        <w:tc>
          <w:tcPr>
            <w:tcW w:w="843" w:type="dxa"/>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98,77</w:t>
            </w:r>
          </w:p>
        </w:tc>
        <w:tc>
          <w:tcPr>
            <w:tcW w:w="838" w:type="dxa"/>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88,06</w:t>
            </w:r>
          </w:p>
        </w:tc>
        <w:tc>
          <w:tcPr>
            <w:tcW w:w="763" w:type="dxa"/>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78,08</w:t>
            </w:r>
          </w:p>
        </w:tc>
        <w:tc>
          <w:tcPr>
            <w:tcW w:w="803" w:type="dxa"/>
            <w:tcBorders>
              <w:right w:val="single" w:sz="24" w:space="0" w:color="auto"/>
            </w:tcBorders>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86,39</w:t>
            </w:r>
          </w:p>
        </w:tc>
      </w:tr>
      <w:tr w:rsidR="00C84387" w:rsidRPr="008750E4" w:rsidTr="00423E7A">
        <w:trPr>
          <w:trHeight w:val="421"/>
        </w:trPr>
        <w:tc>
          <w:tcPr>
            <w:tcW w:w="1935" w:type="dxa"/>
            <w:vMerge/>
            <w:tcBorders>
              <w:left w:val="single" w:sz="24" w:space="0" w:color="auto"/>
            </w:tcBorders>
          </w:tcPr>
          <w:p w:rsidR="00C84387" w:rsidRPr="008750E4" w:rsidRDefault="00C84387" w:rsidP="00423E7A">
            <w:pPr>
              <w:spacing w:after="0" w:line="240" w:lineRule="auto"/>
              <w:rPr>
                <w:rFonts w:ascii="Tahoma" w:hAnsi="Tahoma" w:cs="Tahoma"/>
                <w:sz w:val="20"/>
                <w:szCs w:val="20"/>
              </w:rPr>
            </w:pPr>
          </w:p>
        </w:tc>
        <w:tc>
          <w:tcPr>
            <w:tcW w:w="4552" w:type="dxa"/>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Pourcentage de ménages ayant accès à l’électricité</w:t>
            </w:r>
          </w:p>
        </w:tc>
        <w:tc>
          <w:tcPr>
            <w:tcW w:w="843" w:type="dxa"/>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96,1</w:t>
            </w:r>
          </w:p>
        </w:tc>
        <w:tc>
          <w:tcPr>
            <w:tcW w:w="838" w:type="dxa"/>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82,9</w:t>
            </w:r>
          </w:p>
        </w:tc>
        <w:tc>
          <w:tcPr>
            <w:tcW w:w="763" w:type="dxa"/>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32,4</w:t>
            </w:r>
          </w:p>
        </w:tc>
        <w:tc>
          <w:tcPr>
            <w:tcW w:w="803" w:type="dxa"/>
            <w:tcBorders>
              <w:right w:val="single" w:sz="24" w:space="0" w:color="auto"/>
            </w:tcBorders>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62,4</w:t>
            </w:r>
          </w:p>
        </w:tc>
      </w:tr>
      <w:tr w:rsidR="00C84387" w:rsidRPr="008750E4" w:rsidTr="00423E7A">
        <w:trPr>
          <w:trHeight w:val="485"/>
        </w:trPr>
        <w:tc>
          <w:tcPr>
            <w:tcW w:w="1935" w:type="dxa"/>
            <w:vMerge/>
            <w:tcBorders>
              <w:left w:val="single" w:sz="24" w:space="0" w:color="auto"/>
            </w:tcBorders>
          </w:tcPr>
          <w:p w:rsidR="00C84387" w:rsidRPr="008750E4" w:rsidRDefault="00C84387" w:rsidP="00423E7A">
            <w:pPr>
              <w:spacing w:after="0" w:line="240" w:lineRule="auto"/>
              <w:rPr>
                <w:rFonts w:ascii="Tahoma" w:hAnsi="Tahoma" w:cs="Tahoma"/>
                <w:sz w:val="20"/>
                <w:szCs w:val="20"/>
              </w:rPr>
            </w:pPr>
          </w:p>
        </w:tc>
        <w:tc>
          <w:tcPr>
            <w:tcW w:w="4552" w:type="dxa"/>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 xml:space="preserve">Pourcentage de ménage disposant de toilette avec chasse ou </w:t>
            </w:r>
            <w:r>
              <w:rPr>
                <w:rFonts w:ascii="Tahoma" w:hAnsi="Tahoma" w:cs="Tahoma"/>
                <w:sz w:val="20"/>
                <w:szCs w:val="20"/>
              </w:rPr>
              <w:t>latrine</w:t>
            </w:r>
            <w:r w:rsidRPr="008750E4">
              <w:rPr>
                <w:rFonts w:ascii="Tahoma" w:hAnsi="Tahoma" w:cs="Tahoma"/>
                <w:sz w:val="20"/>
                <w:szCs w:val="20"/>
              </w:rPr>
              <w:t xml:space="preserve"> couverte</w:t>
            </w:r>
          </w:p>
        </w:tc>
        <w:tc>
          <w:tcPr>
            <w:tcW w:w="843" w:type="dxa"/>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89,12</w:t>
            </w:r>
          </w:p>
        </w:tc>
        <w:tc>
          <w:tcPr>
            <w:tcW w:w="838" w:type="dxa"/>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88,43</w:t>
            </w:r>
          </w:p>
        </w:tc>
        <w:tc>
          <w:tcPr>
            <w:tcW w:w="763" w:type="dxa"/>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55,12</w:t>
            </w:r>
          </w:p>
        </w:tc>
        <w:tc>
          <w:tcPr>
            <w:tcW w:w="803" w:type="dxa"/>
            <w:tcBorders>
              <w:right w:val="single" w:sz="24" w:space="0" w:color="auto"/>
            </w:tcBorders>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72,59</w:t>
            </w:r>
          </w:p>
        </w:tc>
      </w:tr>
      <w:tr w:rsidR="00C84387" w:rsidRPr="008750E4" w:rsidTr="00423E7A">
        <w:trPr>
          <w:trHeight w:val="624"/>
        </w:trPr>
        <w:tc>
          <w:tcPr>
            <w:tcW w:w="1935" w:type="dxa"/>
            <w:tcBorders>
              <w:left w:val="single" w:sz="24" w:space="0" w:color="auto"/>
            </w:tcBorders>
          </w:tcPr>
          <w:p w:rsidR="00C84387" w:rsidRPr="008750E4" w:rsidRDefault="00C84387" w:rsidP="00423E7A">
            <w:pPr>
              <w:spacing w:after="0" w:line="240" w:lineRule="auto"/>
              <w:rPr>
                <w:rFonts w:ascii="Tahoma" w:hAnsi="Tahoma" w:cs="Tahoma"/>
                <w:b/>
                <w:sz w:val="20"/>
                <w:szCs w:val="20"/>
              </w:rPr>
            </w:pPr>
            <w:r w:rsidRPr="008750E4">
              <w:rPr>
                <w:rFonts w:ascii="Tahoma" w:hAnsi="Tahoma" w:cs="Tahoma"/>
                <w:b/>
                <w:sz w:val="20"/>
                <w:szCs w:val="20"/>
              </w:rPr>
              <w:t>Alimentation et Sécurité alimentaire</w:t>
            </w:r>
          </w:p>
        </w:tc>
        <w:tc>
          <w:tcPr>
            <w:tcW w:w="4552" w:type="dxa"/>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Pourcentage de ménage vivant dans l’insécurité alimentaire</w:t>
            </w:r>
          </w:p>
        </w:tc>
        <w:tc>
          <w:tcPr>
            <w:tcW w:w="843" w:type="dxa"/>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33,7</w:t>
            </w:r>
          </w:p>
        </w:tc>
        <w:tc>
          <w:tcPr>
            <w:tcW w:w="838" w:type="dxa"/>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38,4</w:t>
            </w:r>
          </w:p>
        </w:tc>
        <w:tc>
          <w:tcPr>
            <w:tcW w:w="763" w:type="dxa"/>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54,8</w:t>
            </w:r>
          </w:p>
        </w:tc>
        <w:tc>
          <w:tcPr>
            <w:tcW w:w="803" w:type="dxa"/>
            <w:tcBorders>
              <w:right w:val="single" w:sz="24" w:space="0" w:color="auto"/>
            </w:tcBorders>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44,9</w:t>
            </w:r>
          </w:p>
        </w:tc>
      </w:tr>
      <w:tr w:rsidR="00C84387" w:rsidRPr="008750E4" w:rsidTr="00423E7A">
        <w:trPr>
          <w:trHeight w:val="389"/>
        </w:trPr>
        <w:tc>
          <w:tcPr>
            <w:tcW w:w="1935" w:type="dxa"/>
            <w:vMerge w:val="restart"/>
            <w:tcBorders>
              <w:left w:val="single" w:sz="24" w:space="0" w:color="auto"/>
            </w:tcBorders>
            <w:vAlign w:val="center"/>
          </w:tcPr>
          <w:p w:rsidR="00C84387" w:rsidRPr="008750E4" w:rsidRDefault="00C84387" w:rsidP="00423E7A">
            <w:pPr>
              <w:spacing w:after="0" w:line="240" w:lineRule="auto"/>
              <w:rPr>
                <w:rFonts w:ascii="Tahoma" w:hAnsi="Tahoma" w:cs="Tahoma"/>
                <w:b/>
                <w:bCs/>
                <w:sz w:val="20"/>
                <w:szCs w:val="20"/>
              </w:rPr>
            </w:pPr>
            <w:r w:rsidRPr="008750E4">
              <w:rPr>
                <w:rFonts w:ascii="Tahoma" w:hAnsi="Tahoma" w:cs="Tahoma"/>
                <w:b/>
                <w:bCs/>
                <w:sz w:val="20"/>
                <w:szCs w:val="20"/>
              </w:rPr>
              <w:t>Patrimoine</w:t>
            </w:r>
          </w:p>
          <w:p w:rsidR="00C84387" w:rsidRPr="008750E4" w:rsidRDefault="00C84387" w:rsidP="00423E7A">
            <w:pPr>
              <w:spacing w:after="0" w:line="240" w:lineRule="auto"/>
              <w:rPr>
                <w:rFonts w:ascii="Tahoma" w:hAnsi="Tahoma" w:cs="Tahoma"/>
                <w:sz w:val="20"/>
                <w:szCs w:val="20"/>
              </w:rPr>
            </w:pPr>
            <w:r w:rsidRPr="008750E4">
              <w:rPr>
                <w:rFonts w:ascii="Tahoma" w:hAnsi="Tahoma" w:cs="Tahoma"/>
                <w:b/>
                <w:bCs/>
                <w:sz w:val="20"/>
                <w:szCs w:val="20"/>
              </w:rPr>
              <w:t>des ménages</w:t>
            </w:r>
          </w:p>
        </w:tc>
        <w:tc>
          <w:tcPr>
            <w:tcW w:w="4552" w:type="dxa"/>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Pourcentage de ménages propriétaires du logement occupé</w:t>
            </w:r>
          </w:p>
        </w:tc>
        <w:tc>
          <w:tcPr>
            <w:tcW w:w="843" w:type="dxa"/>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45,55</w:t>
            </w:r>
          </w:p>
        </w:tc>
        <w:tc>
          <w:tcPr>
            <w:tcW w:w="838" w:type="dxa"/>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69,05</w:t>
            </w:r>
          </w:p>
        </w:tc>
        <w:tc>
          <w:tcPr>
            <w:tcW w:w="763" w:type="dxa"/>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91,74</w:t>
            </w:r>
          </w:p>
        </w:tc>
        <w:tc>
          <w:tcPr>
            <w:tcW w:w="803" w:type="dxa"/>
            <w:tcBorders>
              <w:right w:val="single" w:sz="24" w:space="0" w:color="auto"/>
            </w:tcBorders>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73,1</w:t>
            </w:r>
          </w:p>
        </w:tc>
      </w:tr>
      <w:tr w:rsidR="00C84387" w:rsidRPr="008750E4" w:rsidTr="00423E7A">
        <w:trPr>
          <w:trHeight w:val="467"/>
        </w:trPr>
        <w:tc>
          <w:tcPr>
            <w:tcW w:w="1935" w:type="dxa"/>
            <w:vMerge/>
            <w:tcBorders>
              <w:left w:val="single" w:sz="24" w:space="0" w:color="auto"/>
            </w:tcBorders>
          </w:tcPr>
          <w:p w:rsidR="00C84387" w:rsidRPr="008750E4" w:rsidRDefault="00C84387" w:rsidP="00423E7A">
            <w:pPr>
              <w:spacing w:after="0" w:line="240" w:lineRule="auto"/>
              <w:rPr>
                <w:rFonts w:ascii="Tahoma" w:hAnsi="Tahoma" w:cs="Tahoma"/>
                <w:sz w:val="20"/>
                <w:szCs w:val="20"/>
              </w:rPr>
            </w:pPr>
          </w:p>
        </w:tc>
        <w:tc>
          <w:tcPr>
            <w:tcW w:w="4552" w:type="dxa"/>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Pourcentage de ménages locataires du logement  occupé</w:t>
            </w:r>
          </w:p>
        </w:tc>
        <w:tc>
          <w:tcPr>
            <w:tcW w:w="843" w:type="dxa"/>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47,19</w:t>
            </w:r>
          </w:p>
        </w:tc>
        <w:tc>
          <w:tcPr>
            <w:tcW w:w="838" w:type="dxa"/>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21,17</w:t>
            </w:r>
          </w:p>
        </w:tc>
        <w:tc>
          <w:tcPr>
            <w:tcW w:w="763" w:type="dxa"/>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3,13</w:t>
            </w:r>
          </w:p>
        </w:tc>
        <w:tc>
          <w:tcPr>
            <w:tcW w:w="803" w:type="dxa"/>
            <w:tcBorders>
              <w:right w:val="single" w:sz="24" w:space="0" w:color="auto"/>
            </w:tcBorders>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20,11</w:t>
            </w:r>
          </w:p>
        </w:tc>
      </w:tr>
      <w:tr w:rsidR="00C84387" w:rsidRPr="008750E4" w:rsidTr="00423E7A">
        <w:trPr>
          <w:trHeight w:val="248"/>
        </w:trPr>
        <w:tc>
          <w:tcPr>
            <w:tcW w:w="9734" w:type="dxa"/>
            <w:gridSpan w:val="6"/>
            <w:tcBorders>
              <w:left w:val="single" w:sz="24" w:space="0" w:color="auto"/>
              <w:right w:val="single" w:sz="24" w:space="0" w:color="auto"/>
            </w:tcBorders>
            <w:shd w:val="pct25" w:color="auto" w:fill="auto"/>
          </w:tcPr>
          <w:p w:rsidR="00C84387" w:rsidRPr="008750E4" w:rsidRDefault="00C84387" w:rsidP="00423E7A">
            <w:pPr>
              <w:spacing w:after="0" w:line="240" w:lineRule="auto"/>
              <w:jc w:val="center"/>
              <w:rPr>
                <w:rFonts w:ascii="Tahoma" w:hAnsi="Tahoma" w:cs="Tahoma"/>
                <w:b/>
                <w:sz w:val="20"/>
                <w:szCs w:val="20"/>
              </w:rPr>
            </w:pPr>
            <w:r w:rsidRPr="008750E4">
              <w:rPr>
                <w:rFonts w:ascii="Tahoma" w:hAnsi="Tahoma" w:cs="Tahoma"/>
                <w:b/>
                <w:bCs/>
                <w:iCs/>
                <w:sz w:val="20"/>
                <w:szCs w:val="20"/>
              </w:rPr>
              <w:t>CONDITIONS DE VIE DES MENAGES</w:t>
            </w:r>
            <w:r w:rsidR="00491DC1">
              <w:rPr>
                <w:rFonts w:ascii="Tahoma" w:hAnsi="Tahoma" w:cs="Tahoma"/>
                <w:b/>
                <w:bCs/>
                <w:iCs/>
                <w:sz w:val="20"/>
                <w:szCs w:val="20"/>
              </w:rPr>
              <w:t xml:space="preserve"> :</w:t>
            </w:r>
            <w:r w:rsidRPr="008750E4">
              <w:rPr>
                <w:rFonts w:ascii="Tahoma" w:hAnsi="Tahoma" w:cs="Tahoma"/>
                <w:b/>
                <w:bCs/>
                <w:iCs/>
                <w:sz w:val="20"/>
                <w:szCs w:val="20"/>
              </w:rPr>
              <w:t xml:space="preserve"> DEPENSES</w:t>
            </w:r>
          </w:p>
        </w:tc>
      </w:tr>
      <w:tr w:rsidR="00C84387" w:rsidRPr="008750E4" w:rsidTr="00423E7A">
        <w:trPr>
          <w:trHeight w:val="493"/>
        </w:trPr>
        <w:tc>
          <w:tcPr>
            <w:tcW w:w="1935" w:type="dxa"/>
            <w:vMerge w:val="restart"/>
            <w:tcBorders>
              <w:left w:val="single" w:sz="24" w:space="0" w:color="auto"/>
            </w:tcBorders>
            <w:vAlign w:val="center"/>
          </w:tcPr>
          <w:p w:rsidR="00C84387" w:rsidRPr="008750E4" w:rsidRDefault="00C84387" w:rsidP="00423E7A">
            <w:pPr>
              <w:spacing w:after="0" w:line="240" w:lineRule="auto"/>
              <w:rPr>
                <w:rFonts w:ascii="Tahoma" w:hAnsi="Tahoma" w:cs="Tahoma"/>
                <w:b/>
                <w:bCs/>
                <w:sz w:val="20"/>
                <w:szCs w:val="20"/>
              </w:rPr>
            </w:pPr>
            <w:r w:rsidRPr="008750E4">
              <w:rPr>
                <w:rFonts w:ascii="Tahoma" w:hAnsi="Tahoma" w:cs="Tahoma"/>
                <w:b/>
                <w:bCs/>
                <w:sz w:val="20"/>
                <w:szCs w:val="20"/>
              </w:rPr>
              <w:t>Dépenses</w:t>
            </w:r>
          </w:p>
          <w:p w:rsidR="00C84387" w:rsidRPr="008750E4" w:rsidRDefault="00C84387" w:rsidP="00423E7A">
            <w:pPr>
              <w:spacing w:after="0" w:line="240" w:lineRule="auto"/>
              <w:rPr>
                <w:rFonts w:ascii="Tahoma" w:hAnsi="Tahoma" w:cs="Tahoma"/>
                <w:sz w:val="20"/>
                <w:szCs w:val="20"/>
              </w:rPr>
            </w:pPr>
            <w:r w:rsidRPr="008750E4">
              <w:rPr>
                <w:rFonts w:ascii="Tahoma" w:hAnsi="Tahoma" w:cs="Tahoma"/>
                <w:b/>
                <w:bCs/>
                <w:sz w:val="20"/>
                <w:szCs w:val="20"/>
              </w:rPr>
              <w:t>des ménages</w:t>
            </w:r>
          </w:p>
        </w:tc>
        <w:tc>
          <w:tcPr>
            <w:tcW w:w="4552" w:type="dxa"/>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 xml:space="preserve">Part des dépenses alimentaires sur la dépense totale </w:t>
            </w:r>
            <w:r w:rsidR="0049544F">
              <w:rPr>
                <w:rFonts w:ascii="Tahoma" w:hAnsi="Tahoma" w:cs="Tahoma"/>
                <w:sz w:val="20"/>
                <w:szCs w:val="20"/>
              </w:rPr>
              <w:t xml:space="preserve">annuelle </w:t>
            </w:r>
            <w:r w:rsidRPr="008750E4">
              <w:rPr>
                <w:rFonts w:ascii="Tahoma" w:hAnsi="Tahoma" w:cs="Tahoma"/>
                <w:sz w:val="20"/>
                <w:szCs w:val="20"/>
              </w:rPr>
              <w:t>des ménages</w:t>
            </w:r>
          </w:p>
        </w:tc>
        <w:tc>
          <w:tcPr>
            <w:tcW w:w="843" w:type="dxa"/>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Pr>
                <w:rFonts w:ascii="Tahoma" w:hAnsi="Tahoma" w:cs="Tahoma"/>
                <w:sz w:val="20"/>
                <w:szCs w:val="20"/>
              </w:rPr>
              <w:t>38,9</w:t>
            </w:r>
          </w:p>
        </w:tc>
        <w:tc>
          <w:tcPr>
            <w:tcW w:w="838" w:type="dxa"/>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Pr>
                <w:rFonts w:ascii="Tahoma" w:hAnsi="Tahoma" w:cs="Tahoma"/>
                <w:sz w:val="20"/>
                <w:szCs w:val="20"/>
              </w:rPr>
              <w:t>51</w:t>
            </w:r>
            <w:r w:rsidRPr="008750E4">
              <w:rPr>
                <w:rFonts w:ascii="Tahoma" w:hAnsi="Tahoma" w:cs="Tahoma"/>
                <w:sz w:val="20"/>
                <w:szCs w:val="20"/>
              </w:rPr>
              <w:t>,9</w:t>
            </w:r>
          </w:p>
        </w:tc>
        <w:tc>
          <w:tcPr>
            <w:tcW w:w="763" w:type="dxa"/>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Pr>
                <w:rFonts w:ascii="Tahoma" w:hAnsi="Tahoma" w:cs="Tahoma"/>
                <w:sz w:val="20"/>
                <w:szCs w:val="20"/>
              </w:rPr>
              <w:t>68</w:t>
            </w:r>
            <w:r w:rsidRPr="008750E4">
              <w:rPr>
                <w:rFonts w:ascii="Tahoma" w:hAnsi="Tahoma" w:cs="Tahoma"/>
                <w:sz w:val="20"/>
                <w:szCs w:val="20"/>
              </w:rPr>
              <w:t>,</w:t>
            </w:r>
            <w:r>
              <w:rPr>
                <w:rFonts w:ascii="Tahoma" w:hAnsi="Tahoma" w:cs="Tahoma"/>
                <w:sz w:val="20"/>
                <w:szCs w:val="20"/>
              </w:rPr>
              <w:t>0</w:t>
            </w:r>
          </w:p>
        </w:tc>
        <w:tc>
          <w:tcPr>
            <w:tcW w:w="803" w:type="dxa"/>
            <w:tcBorders>
              <w:right w:val="single" w:sz="24" w:space="0" w:color="auto"/>
            </w:tcBorders>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Pr>
                <w:rFonts w:ascii="Tahoma" w:hAnsi="Tahoma" w:cs="Tahoma"/>
                <w:sz w:val="20"/>
                <w:szCs w:val="20"/>
              </w:rPr>
              <w:t>5</w:t>
            </w:r>
            <w:r w:rsidRPr="008750E4">
              <w:rPr>
                <w:rFonts w:ascii="Tahoma" w:hAnsi="Tahoma" w:cs="Tahoma"/>
                <w:sz w:val="20"/>
                <w:szCs w:val="20"/>
              </w:rPr>
              <w:t>1</w:t>
            </w:r>
            <w:r>
              <w:rPr>
                <w:rFonts w:ascii="Tahoma" w:hAnsi="Tahoma" w:cs="Tahoma"/>
                <w:sz w:val="20"/>
                <w:szCs w:val="20"/>
              </w:rPr>
              <w:t>,8</w:t>
            </w:r>
          </w:p>
        </w:tc>
      </w:tr>
      <w:tr w:rsidR="00C84387" w:rsidRPr="008750E4" w:rsidTr="00423E7A">
        <w:trPr>
          <w:trHeight w:val="415"/>
        </w:trPr>
        <w:tc>
          <w:tcPr>
            <w:tcW w:w="1935" w:type="dxa"/>
            <w:vMerge/>
            <w:tcBorders>
              <w:left w:val="single" w:sz="24" w:space="0" w:color="auto"/>
            </w:tcBorders>
          </w:tcPr>
          <w:p w:rsidR="00C84387" w:rsidRPr="008750E4" w:rsidRDefault="00C84387" w:rsidP="00423E7A">
            <w:pPr>
              <w:spacing w:after="0" w:line="240" w:lineRule="auto"/>
              <w:rPr>
                <w:rFonts w:ascii="Tahoma" w:hAnsi="Tahoma" w:cs="Tahoma"/>
                <w:sz w:val="20"/>
                <w:szCs w:val="20"/>
              </w:rPr>
            </w:pPr>
          </w:p>
        </w:tc>
        <w:tc>
          <w:tcPr>
            <w:tcW w:w="4552" w:type="dxa"/>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 xml:space="preserve">Part des dépenses de santé sur la dépense totale </w:t>
            </w:r>
            <w:r w:rsidR="0049544F">
              <w:rPr>
                <w:rFonts w:ascii="Tahoma" w:hAnsi="Tahoma" w:cs="Tahoma"/>
                <w:sz w:val="20"/>
                <w:szCs w:val="20"/>
              </w:rPr>
              <w:t xml:space="preserve">annuelle </w:t>
            </w:r>
            <w:r w:rsidRPr="008750E4">
              <w:rPr>
                <w:rFonts w:ascii="Tahoma" w:hAnsi="Tahoma" w:cs="Tahoma"/>
                <w:sz w:val="20"/>
                <w:szCs w:val="20"/>
              </w:rPr>
              <w:t>des ménages</w:t>
            </w:r>
          </w:p>
        </w:tc>
        <w:tc>
          <w:tcPr>
            <w:tcW w:w="843" w:type="dxa"/>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Pr>
                <w:rFonts w:ascii="Tahoma" w:hAnsi="Tahoma" w:cs="Tahoma"/>
                <w:sz w:val="20"/>
                <w:szCs w:val="20"/>
              </w:rPr>
              <w:t>3,3</w:t>
            </w:r>
          </w:p>
        </w:tc>
        <w:tc>
          <w:tcPr>
            <w:tcW w:w="838" w:type="dxa"/>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Pr>
                <w:rFonts w:ascii="Tahoma" w:hAnsi="Tahoma" w:cs="Tahoma"/>
                <w:sz w:val="20"/>
                <w:szCs w:val="20"/>
              </w:rPr>
              <w:t>3,0</w:t>
            </w:r>
          </w:p>
        </w:tc>
        <w:tc>
          <w:tcPr>
            <w:tcW w:w="763" w:type="dxa"/>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Pr>
                <w:rFonts w:ascii="Tahoma" w:hAnsi="Tahoma" w:cs="Tahoma"/>
                <w:sz w:val="20"/>
                <w:szCs w:val="20"/>
              </w:rPr>
              <w:t>3,6</w:t>
            </w:r>
          </w:p>
        </w:tc>
        <w:tc>
          <w:tcPr>
            <w:tcW w:w="803" w:type="dxa"/>
            <w:tcBorders>
              <w:right w:val="single" w:sz="24" w:space="0" w:color="auto"/>
            </w:tcBorders>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Pr>
                <w:rFonts w:ascii="Tahoma" w:hAnsi="Tahoma" w:cs="Tahoma"/>
                <w:sz w:val="20"/>
                <w:szCs w:val="20"/>
              </w:rPr>
              <w:t>3,4</w:t>
            </w:r>
          </w:p>
        </w:tc>
      </w:tr>
      <w:tr w:rsidR="00C84387" w:rsidRPr="008750E4" w:rsidTr="00423E7A">
        <w:trPr>
          <w:trHeight w:val="351"/>
        </w:trPr>
        <w:tc>
          <w:tcPr>
            <w:tcW w:w="1935" w:type="dxa"/>
            <w:vMerge/>
            <w:tcBorders>
              <w:left w:val="single" w:sz="24" w:space="0" w:color="auto"/>
            </w:tcBorders>
          </w:tcPr>
          <w:p w:rsidR="00C84387" w:rsidRPr="008750E4" w:rsidRDefault="00C84387" w:rsidP="00423E7A">
            <w:pPr>
              <w:spacing w:after="0" w:line="240" w:lineRule="auto"/>
              <w:rPr>
                <w:rFonts w:ascii="Tahoma" w:hAnsi="Tahoma" w:cs="Tahoma"/>
                <w:sz w:val="20"/>
                <w:szCs w:val="20"/>
              </w:rPr>
            </w:pPr>
          </w:p>
        </w:tc>
        <w:tc>
          <w:tcPr>
            <w:tcW w:w="4552" w:type="dxa"/>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 xml:space="preserve">Part des dépenses d’enseignement sur la dépense totale </w:t>
            </w:r>
            <w:r w:rsidR="0049544F">
              <w:rPr>
                <w:rFonts w:ascii="Tahoma" w:hAnsi="Tahoma" w:cs="Tahoma"/>
                <w:sz w:val="20"/>
                <w:szCs w:val="20"/>
              </w:rPr>
              <w:t xml:space="preserve">annuelle </w:t>
            </w:r>
            <w:r w:rsidRPr="008750E4">
              <w:rPr>
                <w:rFonts w:ascii="Tahoma" w:hAnsi="Tahoma" w:cs="Tahoma"/>
                <w:sz w:val="20"/>
                <w:szCs w:val="20"/>
              </w:rPr>
              <w:t>des ménages</w:t>
            </w:r>
          </w:p>
        </w:tc>
        <w:tc>
          <w:tcPr>
            <w:tcW w:w="843" w:type="dxa"/>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Pr>
                <w:rFonts w:ascii="Tahoma" w:hAnsi="Tahoma" w:cs="Tahoma"/>
                <w:sz w:val="20"/>
                <w:szCs w:val="20"/>
              </w:rPr>
              <w:t>3,8</w:t>
            </w:r>
          </w:p>
        </w:tc>
        <w:tc>
          <w:tcPr>
            <w:tcW w:w="838" w:type="dxa"/>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2,</w:t>
            </w:r>
            <w:r>
              <w:rPr>
                <w:rFonts w:ascii="Tahoma" w:hAnsi="Tahoma" w:cs="Tahoma"/>
                <w:sz w:val="20"/>
                <w:szCs w:val="20"/>
              </w:rPr>
              <w:t>1</w:t>
            </w:r>
          </w:p>
        </w:tc>
        <w:tc>
          <w:tcPr>
            <w:tcW w:w="763" w:type="dxa"/>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Pr>
                <w:rFonts w:ascii="Tahoma" w:hAnsi="Tahoma" w:cs="Tahoma"/>
                <w:sz w:val="20"/>
                <w:szCs w:val="20"/>
              </w:rPr>
              <w:t>0</w:t>
            </w:r>
            <w:r w:rsidRPr="008750E4">
              <w:rPr>
                <w:rFonts w:ascii="Tahoma" w:hAnsi="Tahoma" w:cs="Tahoma"/>
                <w:sz w:val="20"/>
                <w:szCs w:val="20"/>
              </w:rPr>
              <w:t>,6</w:t>
            </w:r>
          </w:p>
        </w:tc>
        <w:tc>
          <w:tcPr>
            <w:tcW w:w="803" w:type="dxa"/>
            <w:tcBorders>
              <w:right w:val="single" w:sz="24" w:space="0" w:color="auto"/>
            </w:tcBorders>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Pr>
                <w:rFonts w:ascii="Tahoma" w:hAnsi="Tahoma" w:cs="Tahoma"/>
                <w:sz w:val="20"/>
                <w:szCs w:val="20"/>
              </w:rPr>
              <w:t>2,4</w:t>
            </w:r>
          </w:p>
        </w:tc>
      </w:tr>
      <w:tr w:rsidR="00C84387" w:rsidRPr="008750E4" w:rsidTr="00423E7A">
        <w:trPr>
          <w:trHeight w:val="429"/>
        </w:trPr>
        <w:tc>
          <w:tcPr>
            <w:tcW w:w="1935" w:type="dxa"/>
            <w:vMerge/>
            <w:tcBorders>
              <w:left w:val="single" w:sz="24" w:space="0" w:color="auto"/>
            </w:tcBorders>
          </w:tcPr>
          <w:p w:rsidR="00C84387" w:rsidRPr="008750E4" w:rsidRDefault="00C84387" w:rsidP="00423E7A">
            <w:pPr>
              <w:spacing w:after="0" w:line="240" w:lineRule="auto"/>
              <w:rPr>
                <w:rFonts w:ascii="Tahoma" w:hAnsi="Tahoma" w:cs="Tahoma"/>
                <w:sz w:val="20"/>
                <w:szCs w:val="20"/>
              </w:rPr>
            </w:pPr>
          </w:p>
        </w:tc>
        <w:tc>
          <w:tcPr>
            <w:tcW w:w="4552" w:type="dxa"/>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 xml:space="preserve">Part des dépenses de logement sur la dépense totale </w:t>
            </w:r>
            <w:r w:rsidR="00DC7DD4">
              <w:rPr>
                <w:rFonts w:ascii="Tahoma" w:hAnsi="Tahoma" w:cs="Tahoma"/>
                <w:sz w:val="20"/>
                <w:szCs w:val="20"/>
              </w:rPr>
              <w:t>annuelle</w:t>
            </w:r>
            <w:r w:rsidR="0049544F">
              <w:rPr>
                <w:rFonts w:ascii="Tahoma" w:hAnsi="Tahoma" w:cs="Tahoma"/>
                <w:sz w:val="20"/>
                <w:szCs w:val="20"/>
              </w:rPr>
              <w:t xml:space="preserve"> </w:t>
            </w:r>
            <w:r w:rsidRPr="008750E4">
              <w:rPr>
                <w:rFonts w:ascii="Tahoma" w:hAnsi="Tahoma" w:cs="Tahoma"/>
                <w:sz w:val="20"/>
                <w:szCs w:val="20"/>
              </w:rPr>
              <w:t>des ménages</w:t>
            </w:r>
          </w:p>
        </w:tc>
        <w:tc>
          <w:tcPr>
            <w:tcW w:w="843" w:type="dxa"/>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Pr>
                <w:rFonts w:ascii="Tahoma" w:hAnsi="Tahoma" w:cs="Tahoma"/>
                <w:sz w:val="20"/>
                <w:szCs w:val="20"/>
              </w:rPr>
              <w:t>5,9</w:t>
            </w:r>
          </w:p>
        </w:tc>
        <w:tc>
          <w:tcPr>
            <w:tcW w:w="838" w:type="dxa"/>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2,6</w:t>
            </w:r>
          </w:p>
        </w:tc>
        <w:tc>
          <w:tcPr>
            <w:tcW w:w="763" w:type="dxa"/>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0,</w:t>
            </w:r>
            <w:r>
              <w:rPr>
                <w:rFonts w:ascii="Tahoma" w:hAnsi="Tahoma" w:cs="Tahoma"/>
                <w:sz w:val="20"/>
                <w:szCs w:val="20"/>
              </w:rPr>
              <w:t>4</w:t>
            </w:r>
          </w:p>
        </w:tc>
        <w:tc>
          <w:tcPr>
            <w:tcW w:w="803" w:type="dxa"/>
            <w:tcBorders>
              <w:right w:val="single" w:sz="24" w:space="0" w:color="auto"/>
            </w:tcBorders>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Pr>
                <w:rFonts w:ascii="Tahoma" w:hAnsi="Tahoma" w:cs="Tahoma"/>
                <w:sz w:val="20"/>
                <w:szCs w:val="20"/>
              </w:rPr>
              <w:t>3,</w:t>
            </w:r>
            <w:r w:rsidRPr="008750E4">
              <w:rPr>
                <w:rFonts w:ascii="Tahoma" w:hAnsi="Tahoma" w:cs="Tahoma"/>
                <w:sz w:val="20"/>
                <w:szCs w:val="20"/>
              </w:rPr>
              <w:t>4</w:t>
            </w:r>
          </w:p>
        </w:tc>
      </w:tr>
      <w:tr w:rsidR="00C84387" w:rsidRPr="008750E4" w:rsidTr="00423E7A">
        <w:trPr>
          <w:trHeight w:val="493"/>
        </w:trPr>
        <w:tc>
          <w:tcPr>
            <w:tcW w:w="1935" w:type="dxa"/>
            <w:vMerge/>
            <w:tcBorders>
              <w:left w:val="single" w:sz="24" w:space="0" w:color="auto"/>
            </w:tcBorders>
          </w:tcPr>
          <w:p w:rsidR="00C84387" w:rsidRPr="008750E4" w:rsidRDefault="00C84387" w:rsidP="00423E7A">
            <w:pPr>
              <w:spacing w:after="0" w:line="240" w:lineRule="auto"/>
              <w:rPr>
                <w:rFonts w:ascii="Tahoma" w:hAnsi="Tahoma" w:cs="Tahoma"/>
                <w:sz w:val="20"/>
                <w:szCs w:val="20"/>
              </w:rPr>
            </w:pPr>
          </w:p>
        </w:tc>
        <w:tc>
          <w:tcPr>
            <w:tcW w:w="4552" w:type="dxa"/>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 xml:space="preserve">Montant de la dépense </w:t>
            </w:r>
            <w:r>
              <w:rPr>
                <w:rFonts w:ascii="Tahoma" w:hAnsi="Tahoma" w:cs="Tahoma"/>
                <w:sz w:val="20"/>
                <w:szCs w:val="20"/>
              </w:rPr>
              <w:t xml:space="preserve">totale (alimentaire et non alimentaire) </w:t>
            </w:r>
            <w:r w:rsidRPr="008750E4">
              <w:rPr>
                <w:rFonts w:ascii="Tahoma" w:hAnsi="Tahoma" w:cs="Tahoma"/>
                <w:sz w:val="20"/>
                <w:szCs w:val="20"/>
              </w:rPr>
              <w:t>par jour et par tête en francs CFA</w:t>
            </w:r>
          </w:p>
        </w:tc>
        <w:tc>
          <w:tcPr>
            <w:tcW w:w="843" w:type="dxa"/>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Pr>
                <w:rFonts w:ascii="Tahoma" w:hAnsi="Tahoma" w:cs="Tahoma"/>
                <w:sz w:val="20"/>
                <w:szCs w:val="20"/>
              </w:rPr>
              <w:t>2280</w:t>
            </w:r>
          </w:p>
        </w:tc>
        <w:tc>
          <w:tcPr>
            <w:tcW w:w="838" w:type="dxa"/>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Pr>
                <w:rFonts w:ascii="Tahoma" w:hAnsi="Tahoma" w:cs="Tahoma"/>
                <w:sz w:val="20"/>
                <w:szCs w:val="20"/>
              </w:rPr>
              <w:t>1090</w:t>
            </w:r>
          </w:p>
        </w:tc>
        <w:tc>
          <w:tcPr>
            <w:tcW w:w="763" w:type="dxa"/>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Pr>
                <w:rFonts w:ascii="Tahoma" w:hAnsi="Tahoma" w:cs="Tahoma"/>
                <w:sz w:val="20"/>
                <w:szCs w:val="20"/>
              </w:rPr>
              <w:t>570</w:t>
            </w:r>
          </w:p>
        </w:tc>
        <w:tc>
          <w:tcPr>
            <w:tcW w:w="803" w:type="dxa"/>
            <w:tcBorders>
              <w:right w:val="single" w:sz="24" w:space="0" w:color="auto"/>
            </w:tcBorders>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Pr>
                <w:rFonts w:ascii="Tahoma" w:hAnsi="Tahoma" w:cs="Tahoma"/>
                <w:sz w:val="20"/>
                <w:szCs w:val="20"/>
              </w:rPr>
              <w:t>1185</w:t>
            </w:r>
          </w:p>
        </w:tc>
      </w:tr>
      <w:tr w:rsidR="00C84387" w:rsidRPr="008750E4" w:rsidTr="00423E7A">
        <w:trPr>
          <w:trHeight w:val="70"/>
        </w:trPr>
        <w:tc>
          <w:tcPr>
            <w:tcW w:w="9734" w:type="dxa"/>
            <w:gridSpan w:val="6"/>
            <w:tcBorders>
              <w:left w:val="single" w:sz="24" w:space="0" w:color="auto"/>
              <w:right w:val="single" w:sz="24" w:space="0" w:color="auto"/>
            </w:tcBorders>
            <w:shd w:val="pct25" w:color="auto" w:fill="auto"/>
          </w:tcPr>
          <w:p w:rsidR="00C84387" w:rsidRPr="008750E4" w:rsidRDefault="00C84387" w:rsidP="00423E7A">
            <w:pPr>
              <w:spacing w:after="0" w:line="240" w:lineRule="auto"/>
              <w:jc w:val="center"/>
              <w:rPr>
                <w:rFonts w:ascii="Tahoma" w:hAnsi="Tahoma" w:cs="Tahoma"/>
                <w:b/>
                <w:sz w:val="20"/>
                <w:szCs w:val="20"/>
              </w:rPr>
            </w:pPr>
            <w:r w:rsidRPr="008750E4">
              <w:rPr>
                <w:rFonts w:ascii="Tahoma" w:hAnsi="Tahoma" w:cs="Tahoma"/>
                <w:b/>
                <w:bCs/>
                <w:iCs/>
                <w:sz w:val="20"/>
                <w:szCs w:val="20"/>
              </w:rPr>
              <w:t>CONDITIONS DE VIE : PERCEPTION DU BIEN ËTRE</w:t>
            </w:r>
          </w:p>
        </w:tc>
      </w:tr>
      <w:tr w:rsidR="00C84387" w:rsidRPr="008750E4" w:rsidTr="00423E7A">
        <w:trPr>
          <w:trHeight w:val="461"/>
        </w:trPr>
        <w:tc>
          <w:tcPr>
            <w:tcW w:w="1935" w:type="dxa"/>
            <w:tcBorders>
              <w:left w:val="single" w:sz="24" w:space="0" w:color="auto"/>
            </w:tcBorders>
          </w:tcPr>
          <w:p w:rsidR="00C84387" w:rsidRPr="008750E4" w:rsidRDefault="00C84387" w:rsidP="00423E7A">
            <w:pPr>
              <w:spacing w:after="0" w:line="240" w:lineRule="auto"/>
              <w:rPr>
                <w:rFonts w:ascii="Tahoma" w:hAnsi="Tahoma" w:cs="Tahoma"/>
                <w:b/>
                <w:bCs/>
                <w:sz w:val="20"/>
                <w:szCs w:val="20"/>
              </w:rPr>
            </w:pPr>
            <w:r w:rsidRPr="008750E4">
              <w:rPr>
                <w:rFonts w:ascii="Tahoma" w:hAnsi="Tahoma" w:cs="Tahoma"/>
                <w:b/>
                <w:bCs/>
                <w:sz w:val="20"/>
                <w:szCs w:val="20"/>
              </w:rPr>
              <w:t>Pauvreté subjective</w:t>
            </w:r>
          </w:p>
        </w:tc>
        <w:tc>
          <w:tcPr>
            <w:tcW w:w="4552" w:type="dxa"/>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Pourcentage de chefs de ménage qui considèrent leur ménage comme pauvre</w:t>
            </w:r>
          </w:p>
        </w:tc>
        <w:tc>
          <w:tcPr>
            <w:tcW w:w="843" w:type="dxa"/>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38,2</w:t>
            </w:r>
          </w:p>
        </w:tc>
        <w:tc>
          <w:tcPr>
            <w:tcW w:w="838" w:type="dxa"/>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57,7</w:t>
            </w:r>
          </w:p>
        </w:tc>
        <w:tc>
          <w:tcPr>
            <w:tcW w:w="763" w:type="dxa"/>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69,0</w:t>
            </w:r>
          </w:p>
        </w:tc>
        <w:tc>
          <w:tcPr>
            <w:tcW w:w="803" w:type="dxa"/>
            <w:tcBorders>
              <w:right w:val="single" w:sz="24" w:space="0" w:color="auto"/>
            </w:tcBorders>
            <w:vAlign w:val="center"/>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r w:rsidRPr="008750E4">
              <w:rPr>
                <w:rFonts w:ascii="Tahoma" w:hAnsi="Tahoma" w:cs="Tahoma"/>
                <w:sz w:val="20"/>
                <w:szCs w:val="20"/>
              </w:rPr>
              <w:t>56,5</w:t>
            </w:r>
          </w:p>
        </w:tc>
      </w:tr>
      <w:tr w:rsidR="00C84387" w:rsidRPr="008750E4" w:rsidTr="00423E7A">
        <w:trPr>
          <w:trHeight w:val="170"/>
        </w:trPr>
        <w:tc>
          <w:tcPr>
            <w:tcW w:w="9734" w:type="dxa"/>
            <w:gridSpan w:val="6"/>
            <w:tcBorders>
              <w:left w:val="single" w:sz="24" w:space="0" w:color="auto"/>
              <w:bottom w:val="single" w:sz="24" w:space="0" w:color="auto"/>
              <w:right w:val="single" w:sz="24" w:space="0" w:color="auto"/>
            </w:tcBorders>
            <w:shd w:val="clear" w:color="auto" w:fill="BFBFBF" w:themeFill="background1" w:themeFillShade="BF"/>
          </w:tcPr>
          <w:p w:rsidR="00C84387" w:rsidRPr="008750E4" w:rsidRDefault="00C84387" w:rsidP="00423E7A">
            <w:pPr>
              <w:widowControl w:val="0"/>
              <w:autoSpaceDE w:val="0"/>
              <w:autoSpaceDN w:val="0"/>
              <w:adjustRightInd w:val="0"/>
              <w:spacing w:after="0" w:line="240" w:lineRule="auto"/>
              <w:rPr>
                <w:rFonts w:ascii="Tahoma" w:hAnsi="Tahoma" w:cs="Tahoma"/>
                <w:sz w:val="20"/>
                <w:szCs w:val="20"/>
              </w:rPr>
            </w:pPr>
          </w:p>
        </w:tc>
      </w:tr>
    </w:tbl>
    <w:p w:rsidR="00195213" w:rsidRPr="008750E4" w:rsidRDefault="00195213" w:rsidP="00195213">
      <w:pPr>
        <w:pBdr>
          <w:top w:val="single" w:sz="4" w:space="1" w:color="auto"/>
          <w:left w:val="single" w:sz="4" w:space="4" w:color="auto"/>
          <w:bottom w:val="single" w:sz="4" w:space="1" w:color="auto"/>
          <w:right w:val="single" w:sz="4" w:space="4" w:color="auto"/>
        </w:pBdr>
        <w:jc w:val="both"/>
        <w:rPr>
          <w:rFonts w:ascii="Tahoma" w:hAnsi="Tahoma" w:cs="Tahoma"/>
          <w:b/>
          <w:sz w:val="24"/>
          <w:szCs w:val="24"/>
        </w:rPr>
      </w:pPr>
      <w:r w:rsidRPr="008750E4">
        <w:rPr>
          <w:rFonts w:ascii="Tahoma" w:hAnsi="Tahoma" w:cs="Tahoma"/>
          <w:b/>
          <w:sz w:val="24"/>
          <w:szCs w:val="24"/>
        </w:rPr>
        <w:br w:type="page"/>
      </w:r>
    </w:p>
    <w:p w:rsidR="00195213" w:rsidRPr="00A4625C" w:rsidRDefault="00195213" w:rsidP="00195213">
      <w:pPr>
        <w:pStyle w:val="Titre1"/>
        <w:jc w:val="center"/>
      </w:pPr>
      <w:r w:rsidRPr="00A4625C">
        <w:lastRenderedPageBreak/>
        <w:t>RESUME ANALYTIQUE</w:t>
      </w:r>
      <w:r w:rsidR="00DC7DD4">
        <w:t xml:space="preserve"> </w:t>
      </w:r>
    </w:p>
    <w:p w:rsidR="00195213" w:rsidRDefault="00195213" w:rsidP="00195213">
      <w:pPr>
        <w:spacing w:after="0"/>
        <w:jc w:val="both"/>
        <w:rPr>
          <w:rFonts w:ascii="Tahoma" w:hAnsi="Tahoma" w:cs="Tahoma"/>
          <w:sz w:val="24"/>
          <w:szCs w:val="24"/>
        </w:rPr>
      </w:pPr>
    </w:p>
    <w:p w:rsidR="00C84387" w:rsidRPr="008750E4" w:rsidRDefault="00C84387" w:rsidP="00491DC1">
      <w:pPr>
        <w:spacing w:after="0"/>
        <w:jc w:val="both"/>
        <w:rPr>
          <w:rFonts w:ascii="Tahoma" w:hAnsi="Tahoma" w:cs="Tahoma"/>
          <w:sz w:val="24"/>
          <w:szCs w:val="24"/>
        </w:rPr>
      </w:pPr>
      <w:r w:rsidRPr="008750E4">
        <w:rPr>
          <w:rFonts w:ascii="Tahoma" w:hAnsi="Tahoma" w:cs="Tahoma"/>
          <w:sz w:val="24"/>
          <w:szCs w:val="24"/>
        </w:rPr>
        <w:t xml:space="preserve">L’enquête « A l’écoute du Sénégal 2014 »est une opération qui est menée auprès </w:t>
      </w:r>
      <w:r w:rsidR="00DA1788">
        <w:rPr>
          <w:rFonts w:ascii="Tahoma" w:hAnsi="Tahoma" w:cs="Tahoma"/>
          <w:sz w:val="24"/>
          <w:szCs w:val="24"/>
        </w:rPr>
        <w:t xml:space="preserve">de </w:t>
      </w:r>
      <w:r w:rsidRPr="008750E4">
        <w:rPr>
          <w:rFonts w:ascii="Tahoma" w:hAnsi="Tahoma" w:cs="Tahoma"/>
          <w:sz w:val="24"/>
          <w:szCs w:val="24"/>
        </w:rPr>
        <w:t>1500 ménages ordinaires qui ont accès au réseau de téléphonie mobile sur l’étendue du ter</w:t>
      </w:r>
      <w:r>
        <w:rPr>
          <w:rFonts w:ascii="Tahoma" w:hAnsi="Tahoma" w:cs="Tahoma"/>
          <w:sz w:val="24"/>
          <w:szCs w:val="24"/>
        </w:rPr>
        <w:t>ritoire national. Elle a permis</w:t>
      </w:r>
      <w:r w:rsidRPr="008750E4">
        <w:rPr>
          <w:rFonts w:ascii="Tahoma" w:hAnsi="Tahoma" w:cs="Tahoma"/>
          <w:sz w:val="24"/>
          <w:szCs w:val="24"/>
        </w:rPr>
        <w:t xml:space="preserve"> de comparer le milieu urbain </w:t>
      </w:r>
      <w:r w:rsidR="00DA1788">
        <w:rPr>
          <w:rFonts w:ascii="Tahoma" w:hAnsi="Tahoma" w:cs="Tahoma"/>
          <w:sz w:val="24"/>
          <w:szCs w:val="24"/>
        </w:rPr>
        <w:t>et le</w:t>
      </w:r>
      <w:r w:rsidRPr="008750E4">
        <w:rPr>
          <w:rFonts w:ascii="Tahoma" w:hAnsi="Tahoma" w:cs="Tahoma"/>
          <w:sz w:val="24"/>
          <w:szCs w:val="24"/>
        </w:rPr>
        <w:t xml:space="preserve"> milieu rural, ainsi que la zone urbaine de Dakar et les autres zones urbaines.</w:t>
      </w:r>
    </w:p>
    <w:p w:rsidR="00C84387" w:rsidRPr="008750E4" w:rsidRDefault="00C84387" w:rsidP="00C84387">
      <w:pPr>
        <w:widowControl w:val="0"/>
        <w:autoSpaceDE w:val="0"/>
        <w:autoSpaceDN w:val="0"/>
        <w:adjustRightInd w:val="0"/>
        <w:spacing w:after="0"/>
        <w:jc w:val="both"/>
        <w:rPr>
          <w:rFonts w:ascii="Tahoma" w:eastAsia="Times New Roman" w:hAnsi="Tahoma" w:cs="Tahoma"/>
          <w:bCs/>
          <w:sz w:val="24"/>
          <w:szCs w:val="24"/>
        </w:rPr>
      </w:pPr>
      <w:r w:rsidRPr="008750E4">
        <w:rPr>
          <w:rFonts w:ascii="Tahoma" w:eastAsia="Times New Roman" w:hAnsi="Tahoma" w:cs="Tahoma"/>
          <w:bCs/>
          <w:sz w:val="24"/>
          <w:szCs w:val="24"/>
        </w:rPr>
        <w:t>Dans ce rapport, les termes ‘Dakar’, ‘Autres Villes’ et ‘Milieu Rural’, sont utilisés pour désigner respectivement la zone urbaine de la région de Dakar, l’ensemble des communes du Sénégal (sauf celles de Dakar déjà prise en charges) et l’ensemble des villages</w:t>
      </w:r>
      <w:r w:rsidR="00DA1788">
        <w:rPr>
          <w:rFonts w:ascii="Tahoma" w:eastAsia="Times New Roman" w:hAnsi="Tahoma" w:cs="Tahoma"/>
          <w:bCs/>
          <w:sz w:val="24"/>
          <w:szCs w:val="24"/>
        </w:rPr>
        <w:t>.</w:t>
      </w:r>
    </w:p>
    <w:p w:rsidR="00C84387" w:rsidRPr="008750E4" w:rsidRDefault="00C84387" w:rsidP="00C84387">
      <w:pPr>
        <w:widowControl w:val="0"/>
        <w:autoSpaceDE w:val="0"/>
        <w:autoSpaceDN w:val="0"/>
        <w:adjustRightInd w:val="0"/>
        <w:spacing w:after="0"/>
        <w:jc w:val="both"/>
        <w:rPr>
          <w:rFonts w:ascii="Tahoma" w:hAnsi="Tahoma" w:cs="Tahoma"/>
          <w:sz w:val="24"/>
          <w:szCs w:val="24"/>
        </w:rPr>
      </w:pPr>
      <w:r w:rsidRPr="008750E4">
        <w:rPr>
          <w:rFonts w:ascii="Tahoma" w:hAnsi="Tahoma" w:cs="Tahoma"/>
          <w:sz w:val="24"/>
          <w:szCs w:val="24"/>
        </w:rPr>
        <w:t>Les informations collectées à travers cette enquête restent statistiquement significatives qu’au niveau national et des milieux de résidence. Elles permettent de fournir des indicateurs pertinents sur l’éducation, la santé, le patrimoine, la consommation à travers les dépenses et l’alimentation des ménages, la sécurité et les violences mais aussi leur points de vue sur leur bien être global.</w:t>
      </w:r>
    </w:p>
    <w:p w:rsidR="00C84387" w:rsidRPr="008750E4" w:rsidRDefault="00C84387" w:rsidP="00C84387">
      <w:pPr>
        <w:spacing w:after="0"/>
        <w:jc w:val="both"/>
        <w:rPr>
          <w:rFonts w:ascii="Tahoma" w:eastAsia="Times New Roman" w:hAnsi="Tahoma" w:cs="Tahoma"/>
          <w:bCs/>
          <w:sz w:val="16"/>
          <w:szCs w:val="16"/>
        </w:rPr>
      </w:pPr>
    </w:p>
    <w:p w:rsidR="00C84387" w:rsidRPr="008750E4" w:rsidRDefault="00C84387" w:rsidP="00C84387">
      <w:pPr>
        <w:spacing w:after="0"/>
        <w:jc w:val="both"/>
        <w:rPr>
          <w:rFonts w:ascii="Tahoma" w:eastAsia="Times New Roman" w:hAnsi="Tahoma" w:cs="Tahoma"/>
          <w:bCs/>
          <w:sz w:val="24"/>
          <w:szCs w:val="24"/>
        </w:rPr>
      </w:pPr>
      <w:r w:rsidRPr="008750E4">
        <w:rPr>
          <w:rFonts w:ascii="Tahoma" w:eastAsia="Times New Roman" w:hAnsi="Tahoma" w:cs="Tahoma"/>
          <w:bCs/>
          <w:sz w:val="24"/>
          <w:szCs w:val="24"/>
        </w:rPr>
        <w:t xml:space="preserve">Au niveau de </w:t>
      </w:r>
      <w:r w:rsidRPr="008750E4">
        <w:rPr>
          <w:rFonts w:ascii="Tahoma" w:eastAsia="Times New Roman" w:hAnsi="Tahoma" w:cs="Tahoma"/>
          <w:b/>
          <w:bCs/>
          <w:i/>
          <w:sz w:val="24"/>
          <w:szCs w:val="24"/>
        </w:rPr>
        <w:t>l’éducation</w:t>
      </w:r>
      <w:r w:rsidR="00DA1788">
        <w:rPr>
          <w:rFonts w:ascii="Tahoma" w:eastAsia="Times New Roman" w:hAnsi="Tahoma" w:cs="Tahoma"/>
          <w:b/>
          <w:bCs/>
          <w:i/>
          <w:sz w:val="24"/>
          <w:szCs w:val="24"/>
        </w:rPr>
        <w:t>,</w:t>
      </w:r>
      <w:r>
        <w:rPr>
          <w:rFonts w:ascii="Tahoma" w:eastAsia="Times New Roman" w:hAnsi="Tahoma" w:cs="Tahoma"/>
          <w:b/>
          <w:bCs/>
          <w:i/>
          <w:sz w:val="24"/>
          <w:szCs w:val="24"/>
        </w:rPr>
        <w:t xml:space="preserve"> </w:t>
      </w:r>
      <w:r w:rsidRPr="008750E4">
        <w:rPr>
          <w:rFonts w:ascii="Tahoma" w:eastAsia="Times New Roman" w:hAnsi="Tahoma" w:cs="Tahoma"/>
          <w:bCs/>
          <w:sz w:val="24"/>
          <w:szCs w:val="24"/>
        </w:rPr>
        <w:t xml:space="preserve">les résultats de l’enquête révèlent qu’au primaire le </w:t>
      </w:r>
      <w:r w:rsidR="00DA1788">
        <w:rPr>
          <w:rFonts w:ascii="Tahoma" w:eastAsia="Times New Roman" w:hAnsi="Tahoma" w:cs="Tahoma"/>
          <w:bCs/>
          <w:sz w:val="24"/>
          <w:szCs w:val="24"/>
        </w:rPr>
        <w:t>Taux Brut de Scolarisation (</w:t>
      </w:r>
      <w:r w:rsidRPr="008750E4">
        <w:rPr>
          <w:rFonts w:ascii="Tahoma" w:eastAsia="Times New Roman" w:hAnsi="Tahoma" w:cs="Tahoma"/>
          <w:bCs/>
          <w:sz w:val="24"/>
          <w:szCs w:val="24"/>
        </w:rPr>
        <w:t>TBS</w:t>
      </w:r>
      <w:r w:rsidR="00DA1788">
        <w:rPr>
          <w:rFonts w:ascii="Tahoma" w:eastAsia="Times New Roman" w:hAnsi="Tahoma" w:cs="Tahoma"/>
          <w:bCs/>
          <w:sz w:val="24"/>
          <w:szCs w:val="24"/>
        </w:rPr>
        <w:t>)</w:t>
      </w:r>
      <w:r w:rsidRPr="008750E4">
        <w:rPr>
          <w:rFonts w:ascii="Tahoma" w:eastAsia="Times New Roman" w:hAnsi="Tahoma" w:cs="Tahoma"/>
          <w:bCs/>
          <w:sz w:val="24"/>
          <w:szCs w:val="24"/>
        </w:rPr>
        <w:t xml:space="preserve"> se situe 84/% alors que le </w:t>
      </w:r>
      <w:r w:rsidR="00DA1788">
        <w:rPr>
          <w:rFonts w:ascii="Tahoma" w:eastAsia="Times New Roman" w:hAnsi="Tahoma" w:cs="Tahoma"/>
          <w:bCs/>
          <w:sz w:val="24"/>
          <w:szCs w:val="24"/>
        </w:rPr>
        <w:t>Taux Net de Scolarisation</w:t>
      </w:r>
      <w:r w:rsidR="00DA1788" w:rsidRPr="008750E4">
        <w:rPr>
          <w:rFonts w:ascii="Tahoma" w:eastAsia="Times New Roman" w:hAnsi="Tahoma" w:cs="Tahoma"/>
          <w:bCs/>
          <w:sz w:val="24"/>
          <w:szCs w:val="24"/>
        </w:rPr>
        <w:t xml:space="preserve"> </w:t>
      </w:r>
      <w:r w:rsidR="00DA1788">
        <w:rPr>
          <w:rFonts w:ascii="Tahoma" w:eastAsia="Times New Roman" w:hAnsi="Tahoma" w:cs="Tahoma"/>
          <w:bCs/>
          <w:sz w:val="24"/>
          <w:szCs w:val="24"/>
        </w:rPr>
        <w:t>(</w:t>
      </w:r>
      <w:r w:rsidRPr="008750E4">
        <w:rPr>
          <w:rFonts w:ascii="Tahoma" w:eastAsia="Times New Roman" w:hAnsi="Tahoma" w:cs="Tahoma"/>
          <w:bCs/>
          <w:sz w:val="24"/>
          <w:szCs w:val="24"/>
        </w:rPr>
        <w:t>TNS</w:t>
      </w:r>
      <w:r w:rsidR="00DA1788">
        <w:rPr>
          <w:rFonts w:ascii="Tahoma" w:eastAsia="Times New Roman" w:hAnsi="Tahoma" w:cs="Tahoma"/>
          <w:bCs/>
          <w:sz w:val="24"/>
          <w:szCs w:val="24"/>
        </w:rPr>
        <w:t>)</w:t>
      </w:r>
      <w:r w:rsidRPr="008750E4">
        <w:rPr>
          <w:rFonts w:ascii="Tahoma" w:eastAsia="Times New Roman" w:hAnsi="Tahoma" w:cs="Tahoma"/>
          <w:bCs/>
          <w:sz w:val="24"/>
          <w:szCs w:val="24"/>
        </w:rPr>
        <w:t xml:space="preserve"> est à 61,4% et ces taux s’abaissent au fur et à mesure qu’on avance dans les cycles supérieurs. En outre, la contribution </w:t>
      </w:r>
      <w:r w:rsidRPr="008750E4">
        <w:rPr>
          <w:rFonts w:ascii="Tahoma" w:hAnsi="Tahoma" w:cs="Tahoma"/>
          <w:sz w:val="24"/>
          <w:szCs w:val="24"/>
        </w:rPr>
        <w:t>moyenne pour un ménage</w:t>
      </w:r>
      <w:r>
        <w:rPr>
          <w:rFonts w:ascii="Tahoma" w:hAnsi="Tahoma" w:cs="Tahoma"/>
          <w:sz w:val="24"/>
          <w:szCs w:val="24"/>
        </w:rPr>
        <w:t xml:space="preserve"> </w:t>
      </w:r>
      <w:r w:rsidRPr="008750E4">
        <w:rPr>
          <w:rFonts w:ascii="Tahoma" w:eastAsia="Times New Roman" w:hAnsi="Tahoma" w:cs="Tahoma"/>
          <w:bCs/>
          <w:sz w:val="24"/>
          <w:szCs w:val="24"/>
        </w:rPr>
        <w:t xml:space="preserve">à l’éducation </w:t>
      </w:r>
      <w:r w:rsidRPr="008750E4">
        <w:rPr>
          <w:rFonts w:ascii="Tahoma" w:hAnsi="Tahoma" w:cs="Tahoma"/>
          <w:sz w:val="24"/>
          <w:szCs w:val="24"/>
        </w:rPr>
        <w:t>de ses enfants s’élève à 83 190 francs CFA.</w:t>
      </w:r>
    </w:p>
    <w:p w:rsidR="00C84387" w:rsidRPr="008750E4" w:rsidRDefault="00C84387" w:rsidP="00C84387">
      <w:pPr>
        <w:spacing w:after="0"/>
        <w:jc w:val="both"/>
        <w:rPr>
          <w:rFonts w:ascii="Tahoma" w:hAnsi="Tahoma" w:cs="Tahoma"/>
          <w:sz w:val="24"/>
          <w:szCs w:val="24"/>
        </w:rPr>
      </w:pPr>
    </w:p>
    <w:p w:rsidR="00C84387" w:rsidRPr="008750E4" w:rsidRDefault="00C84387" w:rsidP="00C84387">
      <w:pPr>
        <w:spacing w:after="0"/>
        <w:jc w:val="both"/>
        <w:rPr>
          <w:rFonts w:ascii="Tahoma" w:eastAsia="Times New Roman" w:hAnsi="Tahoma" w:cs="Tahoma"/>
          <w:bCs/>
          <w:sz w:val="24"/>
          <w:szCs w:val="24"/>
        </w:rPr>
      </w:pPr>
      <w:r w:rsidRPr="008750E4">
        <w:rPr>
          <w:rFonts w:ascii="Tahoma" w:hAnsi="Tahoma" w:cs="Tahoma"/>
          <w:sz w:val="24"/>
          <w:szCs w:val="24"/>
        </w:rPr>
        <w:t xml:space="preserve">L’enquête s’est intéressée à la </w:t>
      </w:r>
      <w:r w:rsidRPr="008750E4">
        <w:rPr>
          <w:rFonts w:ascii="Tahoma" w:hAnsi="Tahoma" w:cs="Tahoma"/>
          <w:b/>
          <w:i/>
          <w:sz w:val="24"/>
          <w:szCs w:val="24"/>
        </w:rPr>
        <w:t>formation professionnelle</w:t>
      </w:r>
      <w:r w:rsidRPr="008750E4">
        <w:rPr>
          <w:rFonts w:ascii="Tahoma" w:hAnsi="Tahoma" w:cs="Tahoma"/>
          <w:sz w:val="24"/>
          <w:szCs w:val="24"/>
        </w:rPr>
        <w:t xml:space="preserve"> de la population. Les </w:t>
      </w:r>
      <w:r w:rsidRPr="008750E4">
        <w:rPr>
          <w:rFonts w:ascii="Tahoma" w:eastAsia="Times New Roman" w:hAnsi="Tahoma" w:cs="Tahoma"/>
          <w:bCs/>
          <w:sz w:val="24"/>
          <w:szCs w:val="24"/>
        </w:rPr>
        <w:t xml:space="preserve">résultats indiquent que 87,5% des individus n’ont suivi aucune formation professionnelle. </w:t>
      </w:r>
    </w:p>
    <w:p w:rsidR="00C84387" w:rsidRPr="008750E4" w:rsidRDefault="00C84387" w:rsidP="00C84387">
      <w:pPr>
        <w:jc w:val="both"/>
        <w:rPr>
          <w:rFonts w:ascii="Tahoma" w:eastAsia="Times New Roman" w:hAnsi="Tahoma" w:cs="Tahoma"/>
          <w:bCs/>
          <w:sz w:val="24"/>
          <w:szCs w:val="24"/>
        </w:rPr>
      </w:pPr>
      <w:r w:rsidRPr="008750E4">
        <w:rPr>
          <w:rFonts w:ascii="Tahoma" w:eastAsia="Times New Roman" w:hAnsi="Tahoma" w:cs="Tahoma"/>
          <w:bCs/>
          <w:sz w:val="24"/>
          <w:szCs w:val="24"/>
        </w:rPr>
        <w:t xml:space="preserve">Quant à </w:t>
      </w:r>
      <w:r w:rsidRPr="008750E4">
        <w:rPr>
          <w:rFonts w:ascii="Tahoma" w:eastAsia="Times New Roman" w:hAnsi="Tahoma" w:cs="Tahoma"/>
          <w:b/>
          <w:bCs/>
          <w:i/>
          <w:sz w:val="24"/>
          <w:szCs w:val="24"/>
        </w:rPr>
        <w:t>l’alphabétisation</w:t>
      </w:r>
      <w:r w:rsidRPr="008750E4">
        <w:rPr>
          <w:rFonts w:ascii="Tahoma" w:eastAsia="Times New Roman" w:hAnsi="Tahoma" w:cs="Tahoma"/>
          <w:bCs/>
          <w:sz w:val="24"/>
          <w:szCs w:val="24"/>
        </w:rPr>
        <w:t>, le niveau national (52,9%) cache des disparités selon le genre.</w:t>
      </w:r>
      <w:r w:rsidR="00491DC1">
        <w:rPr>
          <w:rFonts w:ascii="Tahoma" w:eastAsia="Times New Roman" w:hAnsi="Tahoma" w:cs="Tahoma"/>
          <w:bCs/>
          <w:sz w:val="24"/>
          <w:szCs w:val="24"/>
        </w:rPr>
        <w:t xml:space="preserve"> </w:t>
      </w:r>
      <w:r w:rsidRPr="008750E4">
        <w:rPr>
          <w:rFonts w:ascii="Tahoma" w:eastAsia="Times New Roman" w:hAnsi="Tahoma" w:cs="Tahoma"/>
          <w:bCs/>
          <w:sz w:val="24"/>
          <w:szCs w:val="24"/>
        </w:rPr>
        <w:t>Le taux d’alphabétisation chez les hommes estimé à 64,4%, dépasse de plus de 20 points celui des femmes (43,3%).</w:t>
      </w:r>
    </w:p>
    <w:p w:rsidR="00C84387" w:rsidRPr="008750E4" w:rsidRDefault="00C84387" w:rsidP="00C84387">
      <w:pPr>
        <w:jc w:val="both"/>
        <w:rPr>
          <w:rFonts w:ascii="Tahoma" w:eastAsia="Times New Roman" w:hAnsi="Tahoma" w:cs="Tahoma"/>
          <w:bCs/>
          <w:sz w:val="24"/>
          <w:szCs w:val="24"/>
        </w:rPr>
      </w:pPr>
      <w:r w:rsidRPr="008750E4">
        <w:rPr>
          <w:rFonts w:ascii="Tahoma" w:hAnsi="Tahoma" w:cs="Tahoma"/>
          <w:sz w:val="24"/>
          <w:szCs w:val="24"/>
        </w:rPr>
        <w:t xml:space="preserve">Par rapport à </w:t>
      </w:r>
      <w:r w:rsidRPr="008750E4">
        <w:rPr>
          <w:rFonts w:ascii="Tahoma" w:hAnsi="Tahoma" w:cs="Tahoma"/>
          <w:b/>
          <w:i/>
          <w:sz w:val="24"/>
          <w:szCs w:val="24"/>
        </w:rPr>
        <w:t>l’état de morbidité</w:t>
      </w:r>
      <w:r w:rsidRPr="008750E4">
        <w:rPr>
          <w:rFonts w:ascii="Tahoma" w:hAnsi="Tahoma" w:cs="Tahoma"/>
          <w:sz w:val="24"/>
          <w:szCs w:val="24"/>
        </w:rPr>
        <w:t xml:space="preserve"> et </w:t>
      </w:r>
      <w:r w:rsidRPr="008750E4">
        <w:rPr>
          <w:rFonts w:ascii="Tahoma" w:hAnsi="Tahoma" w:cs="Tahoma"/>
          <w:b/>
          <w:i/>
          <w:sz w:val="24"/>
          <w:szCs w:val="24"/>
        </w:rPr>
        <w:t>l’hygiène</w:t>
      </w:r>
      <w:r w:rsidRPr="008750E4">
        <w:rPr>
          <w:rFonts w:ascii="Tahoma" w:hAnsi="Tahoma" w:cs="Tahoma"/>
          <w:sz w:val="24"/>
          <w:szCs w:val="24"/>
        </w:rPr>
        <w:t xml:space="preserve"> des individus, les résultats montrent </w:t>
      </w:r>
      <w:r w:rsidRPr="008750E4">
        <w:rPr>
          <w:rFonts w:ascii="Tahoma" w:eastAsia="Times New Roman" w:hAnsi="Tahoma" w:cs="Tahoma"/>
          <w:bCs/>
          <w:sz w:val="24"/>
          <w:szCs w:val="24"/>
        </w:rPr>
        <w:t>qu’un peu plus de 47 personnes enquêtées sur 100 ont déclaré avoir eu une maladie ou un problème de santé quelconque au cours des quatre semaines précédant l’enquête.</w:t>
      </w:r>
    </w:p>
    <w:p w:rsidR="00C84387" w:rsidRPr="008750E4" w:rsidRDefault="00C84387" w:rsidP="00C84387">
      <w:pPr>
        <w:spacing w:after="0"/>
        <w:jc w:val="both"/>
        <w:rPr>
          <w:rFonts w:ascii="Tahoma" w:eastAsia="Times New Roman" w:hAnsi="Tahoma" w:cs="Tahoma"/>
          <w:bCs/>
          <w:sz w:val="24"/>
          <w:szCs w:val="24"/>
        </w:rPr>
      </w:pPr>
      <w:r w:rsidRPr="008750E4">
        <w:rPr>
          <w:rFonts w:ascii="Tahoma" w:hAnsi="Tahoma" w:cs="Tahoma"/>
          <w:sz w:val="24"/>
          <w:szCs w:val="24"/>
        </w:rPr>
        <w:t xml:space="preserve">L’on dénote également que la majeure partie des sénégalais (96,6%) font recours au </w:t>
      </w:r>
      <w:r w:rsidRPr="008750E4">
        <w:rPr>
          <w:rFonts w:ascii="Tahoma" w:hAnsi="Tahoma" w:cs="Tahoma"/>
          <w:b/>
          <w:i/>
          <w:sz w:val="24"/>
          <w:szCs w:val="24"/>
        </w:rPr>
        <w:t>lavage des mains</w:t>
      </w:r>
      <w:r w:rsidRPr="008750E4">
        <w:rPr>
          <w:rFonts w:ascii="Tahoma" w:hAnsi="Tahoma" w:cs="Tahoma"/>
          <w:sz w:val="24"/>
          <w:szCs w:val="24"/>
        </w:rPr>
        <w:t>.</w:t>
      </w:r>
    </w:p>
    <w:p w:rsidR="00C84387" w:rsidRPr="008750E4" w:rsidRDefault="00C84387" w:rsidP="00C84387">
      <w:pPr>
        <w:spacing w:after="0"/>
        <w:jc w:val="both"/>
        <w:rPr>
          <w:rFonts w:ascii="Tahoma" w:hAnsi="Tahoma" w:cs="Tahoma"/>
          <w:sz w:val="16"/>
          <w:szCs w:val="16"/>
        </w:rPr>
      </w:pPr>
    </w:p>
    <w:p w:rsidR="00C84387" w:rsidRPr="008750E4" w:rsidRDefault="00C84387" w:rsidP="00C84387">
      <w:pPr>
        <w:spacing w:after="0"/>
        <w:jc w:val="both"/>
        <w:rPr>
          <w:rFonts w:ascii="Tahoma" w:hAnsi="Tahoma" w:cs="Tahoma"/>
          <w:sz w:val="24"/>
          <w:szCs w:val="24"/>
        </w:rPr>
      </w:pPr>
      <w:r w:rsidRPr="008750E4">
        <w:rPr>
          <w:rFonts w:ascii="Tahoma" w:hAnsi="Tahoma" w:cs="Tahoma"/>
          <w:sz w:val="24"/>
          <w:szCs w:val="24"/>
        </w:rPr>
        <w:t>En terme d</w:t>
      </w:r>
      <w:r w:rsidRPr="008750E4">
        <w:rPr>
          <w:rFonts w:ascii="Tahoma" w:hAnsi="Tahoma" w:cs="Tahoma"/>
          <w:b/>
          <w:i/>
          <w:sz w:val="24"/>
          <w:szCs w:val="24"/>
        </w:rPr>
        <w:t>’assainissement</w:t>
      </w:r>
      <w:r w:rsidRPr="008750E4">
        <w:rPr>
          <w:rFonts w:ascii="Tahoma" w:hAnsi="Tahoma" w:cs="Tahoma"/>
          <w:sz w:val="24"/>
          <w:szCs w:val="24"/>
        </w:rPr>
        <w:t>, l’enquête renseigne que plus de 35% des ménages sénégalais évacuent leur fosses septiques avec une pompe automatique. Quant aux eaux usées, l’essentiel des ménages soit 60,</w:t>
      </w:r>
      <w:r w:rsidR="00DA1788">
        <w:rPr>
          <w:rFonts w:ascii="Tahoma" w:hAnsi="Tahoma" w:cs="Tahoma"/>
          <w:sz w:val="24"/>
          <w:szCs w:val="24"/>
        </w:rPr>
        <w:t>5</w:t>
      </w:r>
      <w:r w:rsidRPr="008750E4">
        <w:rPr>
          <w:rFonts w:ascii="Tahoma" w:hAnsi="Tahoma" w:cs="Tahoma"/>
          <w:sz w:val="24"/>
          <w:szCs w:val="24"/>
        </w:rPr>
        <w:t>% utilise la rue, la route ou la nature comme principal mode d’évacuation.</w:t>
      </w:r>
    </w:p>
    <w:p w:rsidR="00C84387" w:rsidRPr="008750E4" w:rsidRDefault="00C84387" w:rsidP="00C84387">
      <w:pPr>
        <w:spacing w:after="0"/>
        <w:jc w:val="both"/>
        <w:rPr>
          <w:rFonts w:ascii="Tahoma" w:hAnsi="Tahoma" w:cs="Tahoma"/>
          <w:sz w:val="24"/>
          <w:szCs w:val="24"/>
        </w:rPr>
      </w:pPr>
      <w:r w:rsidRPr="008750E4">
        <w:rPr>
          <w:rFonts w:ascii="Tahoma" w:hAnsi="Tahoma" w:cs="Tahoma"/>
          <w:sz w:val="24"/>
          <w:szCs w:val="24"/>
        </w:rPr>
        <w:t xml:space="preserve">D’après les informations issues des analyses sur </w:t>
      </w:r>
      <w:r w:rsidRPr="008750E4">
        <w:rPr>
          <w:rFonts w:ascii="Tahoma" w:hAnsi="Tahoma" w:cs="Tahoma"/>
          <w:b/>
          <w:i/>
          <w:sz w:val="24"/>
          <w:szCs w:val="24"/>
        </w:rPr>
        <w:t>l’habitat</w:t>
      </w:r>
      <w:r w:rsidRPr="008750E4">
        <w:rPr>
          <w:rFonts w:ascii="Tahoma" w:hAnsi="Tahoma" w:cs="Tahoma"/>
          <w:sz w:val="24"/>
          <w:szCs w:val="24"/>
        </w:rPr>
        <w:t>, la majorité des ménages sont propriétaires de leur logement (73,1%) dont 38,5% disposent du titre de propriété. La location ne concerne que 20,</w:t>
      </w:r>
      <w:r w:rsidR="00DA1788">
        <w:rPr>
          <w:rFonts w:ascii="Tahoma" w:hAnsi="Tahoma" w:cs="Tahoma"/>
          <w:sz w:val="24"/>
          <w:szCs w:val="24"/>
        </w:rPr>
        <w:t>1</w:t>
      </w:r>
      <w:r w:rsidRPr="008750E4">
        <w:rPr>
          <w:rFonts w:ascii="Tahoma" w:hAnsi="Tahoma" w:cs="Tahoma"/>
          <w:sz w:val="24"/>
          <w:szCs w:val="24"/>
        </w:rPr>
        <w:t>% des ménages.</w:t>
      </w:r>
    </w:p>
    <w:p w:rsidR="00C84387" w:rsidRPr="008750E4" w:rsidRDefault="00C84387" w:rsidP="00C84387">
      <w:pPr>
        <w:spacing w:after="0"/>
        <w:jc w:val="both"/>
        <w:rPr>
          <w:rFonts w:ascii="Tahoma" w:eastAsia="Times New Roman" w:hAnsi="Tahoma" w:cs="Tahoma"/>
          <w:bCs/>
          <w:sz w:val="24"/>
          <w:szCs w:val="24"/>
        </w:rPr>
      </w:pPr>
    </w:p>
    <w:p w:rsidR="00C84387" w:rsidRPr="008750E4" w:rsidRDefault="00C84387" w:rsidP="00C84387">
      <w:pPr>
        <w:jc w:val="both"/>
        <w:rPr>
          <w:rFonts w:ascii="Tahoma" w:hAnsi="Tahoma" w:cs="Tahoma"/>
          <w:sz w:val="24"/>
          <w:szCs w:val="24"/>
        </w:rPr>
      </w:pPr>
      <w:r w:rsidRPr="008750E4">
        <w:rPr>
          <w:rFonts w:ascii="Tahoma" w:hAnsi="Tahoma" w:cs="Tahoma"/>
          <w:sz w:val="24"/>
          <w:szCs w:val="24"/>
        </w:rPr>
        <w:lastRenderedPageBreak/>
        <w:t xml:space="preserve">Notons que beaucoup d’efforts sont faits depuis un certain temps par les autorités afin de venir à bout les coupures intempestives </w:t>
      </w:r>
      <w:r w:rsidRPr="008750E4">
        <w:rPr>
          <w:rFonts w:ascii="Tahoma" w:hAnsi="Tahoma" w:cs="Tahoma"/>
          <w:b/>
          <w:i/>
          <w:sz w:val="24"/>
          <w:szCs w:val="24"/>
        </w:rPr>
        <w:t>d’électricité</w:t>
      </w:r>
      <w:r w:rsidRPr="008750E4">
        <w:rPr>
          <w:rFonts w:ascii="Tahoma" w:hAnsi="Tahoma" w:cs="Tahoma"/>
          <w:sz w:val="24"/>
          <w:szCs w:val="24"/>
        </w:rPr>
        <w:t xml:space="preserve"> avec notamment le </w:t>
      </w:r>
      <w:r>
        <w:rPr>
          <w:rFonts w:ascii="Tahoma" w:hAnsi="Tahoma" w:cs="Tahoma"/>
          <w:sz w:val="24"/>
          <w:szCs w:val="24"/>
        </w:rPr>
        <w:t>« </w:t>
      </w:r>
      <w:r w:rsidRPr="008750E4">
        <w:rPr>
          <w:rFonts w:ascii="Tahoma" w:hAnsi="Tahoma" w:cs="Tahoma"/>
          <w:sz w:val="24"/>
          <w:szCs w:val="24"/>
        </w:rPr>
        <w:t>plan Takkal</w:t>
      </w:r>
      <w:r>
        <w:rPr>
          <w:rFonts w:ascii="Tahoma" w:hAnsi="Tahoma" w:cs="Tahoma"/>
          <w:sz w:val="24"/>
          <w:szCs w:val="24"/>
        </w:rPr>
        <w:t> »</w:t>
      </w:r>
      <w:r w:rsidRPr="008750E4">
        <w:rPr>
          <w:rFonts w:ascii="Tahoma" w:hAnsi="Tahoma" w:cs="Tahoma"/>
          <w:sz w:val="24"/>
          <w:szCs w:val="24"/>
        </w:rPr>
        <w:t>. L’examen des résultats montre que plus de 3 ménages sénégalais sur 5 ont accès à l’électricité. Cependant, cet accès reste inégalitaire selon le milieu de résidence car seuls</w:t>
      </w:r>
      <w:r>
        <w:rPr>
          <w:rFonts w:ascii="Tahoma" w:hAnsi="Tahoma" w:cs="Tahoma"/>
          <w:sz w:val="24"/>
          <w:szCs w:val="24"/>
        </w:rPr>
        <w:t xml:space="preserve"> un peu plus de 3</w:t>
      </w:r>
      <w:r w:rsidRPr="008750E4">
        <w:rPr>
          <w:rFonts w:ascii="Tahoma" w:hAnsi="Tahoma" w:cs="Tahoma"/>
          <w:sz w:val="24"/>
          <w:szCs w:val="24"/>
        </w:rPr>
        <w:t xml:space="preserve"> ménages sur 10 sont éclairés en milieu rural.</w:t>
      </w:r>
    </w:p>
    <w:p w:rsidR="00C84387" w:rsidRPr="008750E4" w:rsidRDefault="00C84387" w:rsidP="00C84387">
      <w:pPr>
        <w:jc w:val="both"/>
        <w:rPr>
          <w:rFonts w:ascii="Tahoma" w:hAnsi="Tahoma" w:cs="Tahoma"/>
          <w:sz w:val="24"/>
          <w:szCs w:val="24"/>
        </w:rPr>
      </w:pPr>
      <w:r w:rsidRPr="008750E4">
        <w:rPr>
          <w:rFonts w:ascii="Tahoma" w:hAnsi="Tahoma" w:cs="Tahoma"/>
          <w:sz w:val="24"/>
          <w:szCs w:val="24"/>
        </w:rPr>
        <w:t>Il résulte de cette enquête de référence que 70% des ménages sénégalais utilisent le robinet comme principale source d’</w:t>
      </w:r>
      <w:r w:rsidRPr="008750E4">
        <w:rPr>
          <w:rFonts w:ascii="Tahoma" w:hAnsi="Tahoma" w:cs="Tahoma"/>
          <w:b/>
          <w:i/>
          <w:sz w:val="24"/>
          <w:szCs w:val="24"/>
        </w:rPr>
        <w:t xml:space="preserve">eau potable </w:t>
      </w:r>
      <w:r w:rsidRPr="008750E4">
        <w:rPr>
          <w:rFonts w:ascii="Tahoma" w:hAnsi="Tahoma" w:cs="Tahoma"/>
          <w:sz w:val="24"/>
          <w:szCs w:val="24"/>
        </w:rPr>
        <w:t>avec 47,5% pour le robinet intérieur, 17,7% pour celui dans la concession et 5,2% provenant de celui du voisin.</w:t>
      </w:r>
    </w:p>
    <w:p w:rsidR="00491DC1" w:rsidRDefault="00C84387" w:rsidP="00491DC1">
      <w:pPr>
        <w:spacing w:after="0"/>
        <w:jc w:val="both"/>
        <w:rPr>
          <w:rFonts w:ascii="Tahoma" w:eastAsia="Times New Roman" w:hAnsi="Tahoma" w:cs="Tahoma"/>
          <w:color w:val="000000"/>
          <w:sz w:val="24"/>
          <w:szCs w:val="24"/>
          <w:lang w:eastAsia="fr-FR"/>
        </w:rPr>
      </w:pPr>
      <w:r w:rsidRPr="002E449D">
        <w:rPr>
          <w:rFonts w:ascii="Tahoma" w:hAnsi="Tahoma" w:cs="Tahoma"/>
          <w:sz w:val="24"/>
          <w:szCs w:val="24"/>
        </w:rPr>
        <w:t xml:space="preserve">A propos des </w:t>
      </w:r>
      <w:r w:rsidRPr="002E449D">
        <w:rPr>
          <w:rFonts w:ascii="Tahoma" w:hAnsi="Tahoma" w:cs="Tahoma"/>
          <w:b/>
          <w:i/>
          <w:sz w:val="24"/>
          <w:szCs w:val="24"/>
        </w:rPr>
        <w:t>dépenses</w:t>
      </w:r>
      <w:r w:rsidRPr="002E449D">
        <w:rPr>
          <w:rFonts w:ascii="Tahoma" w:hAnsi="Tahoma" w:cs="Tahoma"/>
          <w:sz w:val="24"/>
          <w:szCs w:val="24"/>
        </w:rPr>
        <w:t xml:space="preserve"> des ménages, elles sont constituées par celles alimentaires mais aussi celles non alimentaires</w:t>
      </w:r>
      <w:r w:rsidRPr="002E449D">
        <w:rPr>
          <w:rFonts w:ascii="Tahoma" w:hAnsi="Tahoma" w:cs="Tahoma"/>
        </w:rPr>
        <w:t xml:space="preserve">. </w:t>
      </w:r>
      <w:r w:rsidRPr="006F1DED">
        <w:rPr>
          <w:rFonts w:ascii="Tahoma" w:hAnsi="Tahoma" w:cs="Tahoma"/>
          <w:sz w:val="24"/>
          <w:szCs w:val="24"/>
        </w:rPr>
        <w:t>Il ressort que pendant le mois précédant l’enquête</w:t>
      </w:r>
      <w:r>
        <w:rPr>
          <w:rFonts w:ascii="Tahoma" w:hAnsi="Tahoma" w:cs="Tahoma"/>
          <w:sz w:val="24"/>
          <w:szCs w:val="24"/>
        </w:rPr>
        <w:t xml:space="preserve">, chaque sénégalais a dépensé en moyenne </w:t>
      </w:r>
      <w:r>
        <w:rPr>
          <w:rFonts w:ascii="Tahoma" w:eastAsia="Times New Roman" w:hAnsi="Tahoma" w:cs="Tahoma"/>
          <w:color w:val="000000"/>
          <w:sz w:val="24"/>
          <w:szCs w:val="24"/>
          <w:lang w:eastAsia="fr-FR"/>
        </w:rPr>
        <w:t>31 000 F CFA </w:t>
      </w:r>
      <w:r>
        <w:rPr>
          <w:rFonts w:ascii="Tahoma" w:hAnsi="Tahoma" w:cs="Tahoma"/>
          <w:sz w:val="24"/>
          <w:szCs w:val="24"/>
        </w:rPr>
        <w:t xml:space="preserve">, soit </w:t>
      </w:r>
      <w:r w:rsidRPr="00883049">
        <w:rPr>
          <w:rFonts w:ascii="Tahoma" w:eastAsia="Times New Roman" w:hAnsi="Tahoma" w:cs="Tahoma"/>
          <w:color w:val="000000"/>
          <w:sz w:val="24"/>
          <w:szCs w:val="24"/>
          <w:lang w:eastAsia="fr-FR"/>
        </w:rPr>
        <w:t>312</w:t>
      </w:r>
      <w:r>
        <w:rPr>
          <w:rFonts w:ascii="Tahoma" w:eastAsia="Times New Roman" w:hAnsi="Tahoma" w:cs="Tahoma"/>
          <w:color w:val="000000"/>
          <w:sz w:val="24"/>
          <w:szCs w:val="24"/>
          <w:lang w:eastAsia="fr-FR"/>
        </w:rPr>
        <w:t> </w:t>
      </w:r>
      <w:r w:rsidRPr="00883049">
        <w:rPr>
          <w:rFonts w:ascii="Tahoma" w:eastAsia="Times New Roman" w:hAnsi="Tahoma" w:cs="Tahoma"/>
          <w:color w:val="000000"/>
          <w:sz w:val="24"/>
          <w:szCs w:val="24"/>
          <w:lang w:eastAsia="fr-FR"/>
        </w:rPr>
        <w:t>100</w:t>
      </w:r>
      <w:r>
        <w:rPr>
          <w:rFonts w:ascii="Tahoma" w:eastAsia="Times New Roman" w:hAnsi="Tahoma" w:cs="Tahoma"/>
          <w:color w:val="000000"/>
          <w:sz w:val="24"/>
          <w:szCs w:val="24"/>
          <w:lang w:eastAsia="fr-FR"/>
        </w:rPr>
        <w:t> </w:t>
      </w:r>
      <w:r w:rsidRPr="00883049">
        <w:rPr>
          <w:rFonts w:ascii="Tahoma" w:eastAsia="Times New Roman" w:hAnsi="Tahoma" w:cs="Tahoma"/>
          <w:color w:val="000000"/>
          <w:sz w:val="24"/>
          <w:szCs w:val="24"/>
          <w:lang w:eastAsia="fr-FR"/>
        </w:rPr>
        <w:t>000</w:t>
      </w:r>
      <w:r>
        <w:rPr>
          <w:rFonts w:ascii="Tahoma" w:eastAsia="Times New Roman" w:hAnsi="Tahoma" w:cs="Tahoma"/>
          <w:color w:val="000000"/>
          <w:sz w:val="24"/>
          <w:szCs w:val="24"/>
          <w:lang w:eastAsia="fr-FR"/>
        </w:rPr>
        <w:t xml:space="preserve"> </w:t>
      </w:r>
      <w:r w:rsidRPr="00883049">
        <w:rPr>
          <w:rFonts w:ascii="Tahoma" w:eastAsia="Times New Roman" w:hAnsi="Tahoma" w:cs="Tahoma"/>
          <w:color w:val="000000"/>
          <w:sz w:val="24"/>
          <w:szCs w:val="24"/>
          <w:lang w:eastAsia="fr-FR"/>
        </w:rPr>
        <w:t>000</w:t>
      </w:r>
      <w:r w:rsidRPr="006F1DED">
        <w:rPr>
          <w:rFonts w:ascii="Tahoma" w:eastAsia="Times New Roman" w:hAnsi="Tahoma" w:cs="Tahoma"/>
          <w:color w:val="000000"/>
          <w:sz w:val="24"/>
          <w:szCs w:val="24"/>
          <w:lang w:eastAsia="fr-FR"/>
        </w:rPr>
        <w:t xml:space="preserve"> F CFA </w:t>
      </w:r>
      <w:r>
        <w:rPr>
          <w:rFonts w:ascii="Tahoma" w:eastAsia="Times New Roman" w:hAnsi="Tahoma" w:cs="Tahoma"/>
          <w:color w:val="000000"/>
          <w:sz w:val="24"/>
          <w:szCs w:val="24"/>
          <w:lang w:eastAsia="fr-FR"/>
        </w:rPr>
        <w:t xml:space="preserve">qui </w:t>
      </w:r>
      <w:r w:rsidRPr="006F1DED">
        <w:rPr>
          <w:rFonts w:ascii="Tahoma" w:eastAsia="Times New Roman" w:hAnsi="Tahoma" w:cs="Tahoma"/>
          <w:color w:val="000000"/>
          <w:sz w:val="24"/>
          <w:szCs w:val="24"/>
          <w:lang w:eastAsia="fr-FR"/>
        </w:rPr>
        <w:t>ont été dépensés au total par les ménages</w:t>
      </w:r>
      <w:r>
        <w:rPr>
          <w:rFonts w:ascii="Tahoma" w:eastAsia="Times New Roman" w:hAnsi="Tahoma" w:cs="Tahoma"/>
          <w:color w:val="000000"/>
          <w:sz w:val="24"/>
          <w:szCs w:val="24"/>
          <w:lang w:eastAsia="fr-FR"/>
        </w:rPr>
        <w:t>,</w:t>
      </w:r>
      <w:r w:rsidRPr="006F1DED">
        <w:rPr>
          <w:rFonts w:ascii="Tahoma" w:eastAsia="Times New Roman" w:hAnsi="Tahoma" w:cs="Tahoma"/>
          <w:color w:val="000000"/>
          <w:sz w:val="24"/>
          <w:szCs w:val="24"/>
          <w:lang w:eastAsia="fr-FR"/>
        </w:rPr>
        <w:t xml:space="preserve"> avec une part plus importante pour </w:t>
      </w:r>
      <w:r>
        <w:rPr>
          <w:rFonts w:ascii="Tahoma" w:eastAsia="Times New Roman" w:hAnsi="Tahoma" w:cs="Tahoma"/>
          <w:color w:val="000000"/>
          <w:sz w:val="24"/>
          <w:szCs w:val="24"/>
          <w:lang w:eastAsia="fr-FR"/>
        </w:rPr>
        <w:t xml:space="preserve">ceux de </w:t>
      </w:r>
      <w:r w:rsidRPr="006F1DED">
        <w:rPr>
          <w:rFonts w:ascii="Tahoma" w:eastAsia="Times New Roman" w:hAnsi="Tahoma" w:cs="Tahoma"/>
          <w:color w:val="000000"/>
          <w:sz w:val="24"/>
          <w:szCs w:val="24"/>
          <w:lang w:eastAsia="fr-FR"/>
        </w:rPr>
        <w:t>Dakar urbain (</w:t>
      </w:r>
      <w:r>
        <w:rPr>
          <w:rFonts w:ascii="Tahoma" w:eastAsia="Times New Roman" w:hAnsi="Tahoma" w:cs="Tahoma"/>
          <w:color w:val="000000"/>
          <w:sz w:val="24"/>
          <w:szCs w:val="24"/>
          <w:lang w:eastAsia="fr-FR"/>
        </w:rPr>
        <w:t>46</w:t>
      </w:r>
      <w:r w:rsidRPr="006F1DED">
        <w:rPr>
          <w:rFonts w:ascii="Tahoma" w:eastAsia="Times New Roman" w:hAnsi="Tahoma" w:cs="Tahoma"/>
          <w:color w:val="000000"/>
          <w:sz w:val="24"/>
          <w:szCs w:val="24"/>
          <w:lang w:eastAsia="fr-FR"/>
        </w:rPr>
        <w:t xml:space="preserve">%) et </w:t>
      </w:r>
      <w:r>
        <w:rPr>
          <w:rFonts w:ascii="Tahoma" w:eastAsia="Times New Roman" w:hAnsi="Tahoma" w:cs="Tahoma"/>
          <w:color w:val="000000"/>
          <w:sz w:val="24"/>
          <w:szCs w:val="24"/>
          <w:lang w:eastAsia="fr-FR"/>
        </w:rPr>
        <w:t>un peu plus du</w:t>
      </w:r>
      <w:r w:rsidR="00491DC1">
        <w:rPr>
          <w:rFonts w:ascii="Tahoma" w:eastAsia="Times New Roman" w:hAnsi="Tahoma" w:cs="Tahoma"/>
          <w:color w:val="000000"/>
          <w:sz w:val="24"/>
          <w:szCs w:val="24"/>
          <w:lang w:eastAsia="fr-FR"/>
        </w:rPr>
        <w:t xml:space="preserve"> </w:t>
      </w:r>
      <w:r>
        <w:rPr>
          <w:rFonts w:ascii="Tahoma" w:eastAsia="Times New Roman" w:hAnsi="Tahoma" w:cs="Tahoma"/>
          <w:color w:val="000000"/>
          <w:sz w:val="24"/>
          <w:szCs w:val="24"/>
          <w:lang w:eastAsia="fr-FR"/>
        </w:rPr>
        <w:t>cinquième</w:t>
      </w:r>
      <w:r w:rsidRPr="006F1DED">
        <w:rPr>
          <w:rFonts w:ascii="Tahoma" w:eastAsia="Times New Roman" w:hAnsi="Tahoma" w:cs="Tahoma"/>
          <w:color w:val="000000"/>
          <w:sz w:val="24"/>
          <w:szCs w:val="24"/>
          <w:lang w:eastAsia="fr-FR"/>
        </w:rPr>
        <w:t xml:space="preserve"> pou</w:t>
      </w:r>
      <w:r>
        <w:rPr>
          <w:rFonts w:ascii="Tahoma" w:eastAsia="Times New Roman" w:hAnsi="Tahoma" w:cs="Tahoma"/>
          <w:color w:val="000000"/>
          <w:sz w:val="24"/>
          <w:szCs w:val="24"/>
          <w:lang w:eastAsia="fr-FR"/>
        </w:rPr>
        <w:t>r les autres villes.</w:t>
      </w:r>
      <w:r w:rsidRPr="00F009B4">
        <w:rPr>
          <w:rFonts w:ascii="Tahoma" w:eastAsia="Times New Roman" w:hAnsi="Tahoma" w:cs="Tahoma"/>
          <w:color w:val="000000"/>
          <w:sz w:val="24"/>
          <w:szCs w:val="24"/>
          <w:lang w:eastAsia="fr-FR"/>
        </w:rPr>
        <w:t xml:space="preserve"> En outre, au moment où un citadin de Dakar dépense plus de 59 300 Francs CFA le mois, un habitant des autres villes débourserait environ 28 500F CFA et celui du milieu rural 14 900F CFA.</w:t>
      </w:r>
      <w:r w:rsidR="00491DC1">
        <w:rPr>
          <w:rFonts w:ascii="Tahoma" w:eastAsia="Times New Roman" w:hAnsi="Tahoma" w:cs="Tahoma"/>
          <w:color w:val="000000"/>
          <w:sz w:val="24"/>
          <w:szCs w:val="24"/>
          <w:lang w:eastAsia="fr-FR"/>
        </w:rPr>
        <w:t xml:space="preserve"> </w:t>
      </w:r>
    </w:p>
    <w:p w:rsidR="00C84387" w:rsidRPr="00491DC1" w:rsidRDefault="00C84387" w:rsidP="00491DC1">
      <w:pPr>
        <w:spacing w:after="0"/>
        <w:jc w:val="both"/>
        <w:rPr>
          <w:rFonts w:ascii="Tahoma" w:eastAsia="Times New Roman" w:hAnsi="Tahoma" w:cs="Tahoma"/>
          <w:color w:val="000000"/>
          <w:sz w:val="24"/>
          <w:szCs w:val="24"/>
          <w:lang w:eastAsia="fr-FR"/>
        </w:rPr>
      </w:pPr>
      <w:r w:rsidRPr="00F009B4">
        <w:rPr>
          <w:rFonts w:ascii="Tahoma" w:hAnsi="Tahoma" w:cs="Tahoma"/>
          <w:sz w:val="24"/>
          <w:szCs w:val="24"/>
        </w:rPr>
        <w:t>L’examen de la structure</w:t>
      </w:r>
      <w:r w:rsidR="00491DC1">
        <w:rPr>
          <w:rFonts w:ascii="Tahoma" w:hAnsi="Tahoma" w:cs="Tahoma"/>
          <w:sz w:val="24"/>
          <w:szCs w:val="24"/>
        </w:rPr>
        <w:t xml:space="preserve"> de dépenses</w:t>
      </w:r>
      <w:r w:rsidRPr="00F009B4">
        <w:rPr>
          <w:rFonts w:ascii="Tahoma" w:hAnsi="Tahoma" w:cs="Tahoma"/>
          <w:sz w:val="24"/>
          <w:szCs w:val="24"/>
        </w:rPr>
        <w:t xml:space="preserve"> des ménages sénégalais révèlent que plus de la moitié de leur b</w:t>
      </w:r>
      <w:r>
        <w:rPr>
          <w:rFonts w:ascii="Tahoma" w:hAnsi="Tahoma" w:cs="Tahoma"/>
          <w:sz w:val="24"/>
          <w:szCs w:val="24"/>
        </w:rPr>
        <w:t>udget (5</w:t>
      </w:r>
      <w:r w:rsidRPr="00F009B4">
        <w:rPr>
          <w:rFonts w:ascii="Tahoma" w:hAnsi="Tahoma" w:cs="Tahoma"/>
          <w:sz w:val="24"/>
          <w:szCs w:val="24"/>
        </w:rPr>
        <w:t>8</w:t>
      </w:r>
      <w:r>
        <w:rPr>
          <w:rFonts w:ascii="Tahoma" w:hAnsi="Tahoma" w:cs="Tahoma"/>
          <w:sz w:val="24"/>
          <w:szCs w:val="24"/>
        </w:rPr>
        <w:t>,1</w:t>
      </w:r>
      <w:r w:rsidRPr="00F009B4">
        <w:rPr>
          <w:rFonts w:ascii="Tahoma" w:hAnsi="Tahoma" w:cs="Tahoma"/>
          <w:sz w:val="24"/>
          <w:szCs w:val="24"/>
        </w:rPr>
        <w:t>%) est consacrée à l’alimentation et à la boisson</w:t>
      </w:r>
      <w:r>
        <w:rPr>
          <w:rFonts w:ascii="Tahoma" w:hAnsi="Tahoma" w:cs="Tahoma"/>
          <w:sz w:val="24"/>
          <w:szCs w:val="24"/>
        </w:rPr>
        <w:t xml:space="preserve"> non alcoolisée</w:t>
      </w:r>
      <w:r w:rsidRPr="00F009B4">
        <w:rPr>
          <w:rFonts w:ascii="Tahoma" w:hAnsi="Tahoma" w:cs="Tahoma"/>
          <w:sz w:val="24"/>
          <w:szCs w:val="24"/>
        </w:rPr>
        <w:t>.</w:t>
      </w:r>
    </w:p>
    <w:p w:rsidR="00491DC1" w:rsidRDefault="00491DC1" w:rsidP="00491DC1">
      <w:pPr>
        <w:spacing w:after="0" w:line="240" w:lineRule="auto"/>
        <w:jc w:val="both"/>
        <w:rPr>
          <w:rFonts w:ascii="Tahoma" w:hAnsi="Tahoma" w:cs="Tahoma"/>
          <w:sz w:val="24"/>
          <w:szCs w:val="24"/>
        </w:rPr>
      </w:pPr>
    </w:p>
    <w:p w:rsidR="00C84387" w:rsidRPr="008750E4" w:rsidRDefault="00C84387" w:rsidP="00491DC1">
      <w:pPr>
        <w:spacing w:after="0" w:line="240" w:lineRule="auto"/>
        <w:jc w:val="both"/>
        <w:rPr>
          <w:rFonts w:ascii="Tahoma" w:hAnsi="Tahoma" w:cs="Tahoma"/>
          <w:sz w:val="24"/>
          <w:szCs w:val="24"/>
        </w:rPr>
      </w:pPr>
      <w:r w:rsidRPr="008750E4">
        <w:rPr>
          <w:rFonts w:ascii="Tahoma" w:hAnsi="Tahoma" w:cs="Tahoma"/>
          <w:sz w:val="24"/>
          <w:szCs w:val="24"/>
        </w:rPr>
        <w:t>En 2014, la crainte des ménages du Sénégal, d’être confrontés à une situation d’</w:t>
      </w:r>
      <w:r w:rsidRPr="008750E4">
        <w:rPr>
          <w:rFonts w:ascii="Tahoma" w:hAnsi="Tahoma" w:cs="Tahoma"/>
          <w:b/>
          <w:i/>
          <w:sz w:val="24"/>
          <w:szCs w:val="24"/>
        </w:rPr>
        <w:t xml:space="preserve">insécurité alimentaire </w:t>
      </w:r>
      <w:r w:rsidRPr="008750E4">
        <w:rPr>
          <w:rFonts w:ascii="Tahoma" w:hAnsi="Tahoma" w:cs="Tahoma"/>
          <w:sz w:val="24"/>
          <w:szCs w:val="24"/>
        </w:rPr>
        <w:t>a été notée pour un peu plus du tiers d’entre eux, correspondant à 37,8%. La plupart de ces ménages résident en milieu rural (51,9%). C’est aussi dans cette zone que se fait ressentir le plus, cette crainte de ne pas avoir assez à manger, pour un peu plus de deux ménages sur cinq (40,7%).</w:t>
      </w:r>
    </w:p>
    <w:p w:rsidR="00C84387" w:rsidRPr="008750E4" w:rsidRDefault="00C84387" w:rsidP="00C84387">
      <w:pPr>
        <w:jc w:val="both"/>
        <w:rPr>
          <w:rFonts w:ascii="Tahoma" w:eastAsia="Times New Roman" w:hAnsi="Tahoma" w:cs="Tahoma"/>
          <w:bCs/>
          <w:sz w:val="24"/>
          <w:szCs w:val="24"/>
        </w:rPr>
      </w:pPr>
      <w:r w:rsidRPr="008750E4">
        <w:rPr>
          <w:rFonts w:ascii="Tahoma" w:hAnsi="Tahoma" w:cs="Tahoma"/>
          <w:sz w:val="24"/>
          <w:szCs w:val="24"/>
        </w:rPr>
        <w:t xml:space="preserve">A la question de savoir si les individus se sentent protégés face à certaines situations, il est à relever que le sentiment </w:t>
      </w:r>
      <w:r w:rsidRPr="008750E4">
        <w:rPr>
          <w:rFonts w:ascii="Tahoma" w:hAnsi="Tahoma" w:cs="Tahoma"/>
          <w:b/>
          <w:i/>
          <w:sz w:val="24"/>
          <w:szCs w:val="24"/>
        </w:rPr>
        <w:t>d’insécurité</w:t>
      </w:r>
      <w:r w:rsidRPr="008750E4">
        <w:rPr>
          <w:rFonts w:ascii="Tahoma" w:hAnsi="Tahoma" w:cs="Tahoma"/>
          <w:sz w:val="24"/>
          <w:szCs w:val="24"/>
        </w:rPr>
        <w:t xml:space="preserve"> plane même lorsqu’on est chez soi. En effet, un peu plus du tiers des ménages ne se sentent pas en sécurité même étant chez eux. La proportion la plus forte de ménages dans cette situation s’observe dans les autres milieux urbains (37%).</w:t>
      </w:r>
    </w:p>
    <w:p w:rsidR="00C84387" w:rsidRPr="008750E4" w:rsidRDefault="00C84387" w:rsidP="00C84387">
      <w:pPr>
        <w:jc w:val="both"/>
        <w:rPr>
          <w:rFonts w:ascii="Tahoma" w:hAnsi="Tahoma" w:cs="Tahoma"/>
          <w:sz w:val="24"/>
          <w:szCs w:val="24"/>
        </w:rPr>
      </w:pPr>
      <w:r w:rsidRPr="008750E4">
        <w:rPr>
          <w:rFonts w:ascii="Tahoma" w:eastAsia="Times New Roman" w:hAnsi="Tahoma" w:cs="Tahoma"/>
          <w:bCs/>
          <w:sz w:val="24"/>
          <w:szCs w:val="24"/>
        </w:rPr>
        <w:t xml:space="preserve">Ici, la pauvreté appréhendée est la </w:t>
      </w:r>
      <w:r w:rsidRPr="008750E4">
        <w:rPr>
          <w:rFonts w:ascii="Tahoma" w:eastAsia="Times New Roman" w:hAnsi="Tahoma" w:cs="Tahoma"/>
          <w:b/>
          <w:bCs/>
          <w:i/>
          <w:sz w:val="24"/>
          <w:szCs w:val="24"/>
        </w:rPr>
        <w:t>pauvreté subjective</w:t>
      </w:r>
      <w:r w:rsidRPr="008750E4">
        <w:rPr>
          <w:rFonts w:ascii="Tahoma" w:eastAsia="Times New Roman" w:hAnsi="Tahoma" w:cs="Tahoma"/>
          <w:bCs/>
          <w:sz w:val="24"/>
          <w:szCs w:val="24"/>
        </w:rPr>
        <w:t xml:space="preserve"> obtenue à travers la perception des ménages sur leurs conditions de vie. Ainsi, les résultats montrent qu’au</w:t>
      </w:r>
      <w:r w:rsidRPr="008750E4">
        <w:rPr>
          <w:rFonts w:ascii="Tahoma" w:hAnsi="Tahoma" w:cs="Tahoma"/>
          <w:sz w:val="24"/>
          <w:szCs w:val="24"/>
        </w:rPr>
        <w:t xml:space="preserve"> niveau des ménages, plus de la moitié d’entre eux (56,5%) s’estiment pauvres, parmi lesquels 45,7% se déclarent très pauvres. Elle est plus marquée dans le milieu rural où plus des deux tiers des ménages (69,0%) se déclarent pauvres, la plupart d’entre eux se voient très pauvres. Elle est moins observée dans la zone urbaine de Dakar, où moins de deux ménages sur cinq (38,2%) se trouvent pauvres, parmi lesquels un peu moins du quart (24,7%) sont très pauvres.</w:t>
      </w:r>
    </w:p>
    <w:p w:rsidR="00C84387" w:rsidRPr="008750E4" w:rsidRDefault="00C84387" w:rsidP="00C84387">
      <w:pPr>
        <w:autoSpaceDE w:val="0"/>
        <w:autoSpaceDN w:val="0"/>
        <w:adjustRightInd w:val="0"/>
        <w:spacing w:after="0"/>
        <w:jc w:val="both"/>
        <w:rPr>
          <w:rFonts w:ascii="Tahoma" w:hAnsi="Tahoma" w:cs="Tahoma"/>
          <w:sz w:val="24"/>
          <w:szCs w:val="24"/>
        </w:rPr>
      </w:pPr>
      <w:r w:rsidRPr="008750E4">
        <w:rPr>
          <w:rFonts w:ascii="Tahoma" w:hAnsi="Tahoma" w:cs="Tahoma"/>
          <w:sz w:val="24"/>
          <w:szCs w:val="24"/>
        </w:rPr>
        <w:t xml:space="preserve">Concernant le </w:t>
      </w:r>
      <w:r w:rsidRPr="008750E4">
        <w:rPr>
          <w:rFonts w:ascii="Tahoma" w:hAnsi="Tahoma" w:cs="Tahoma"/>
          <w:b/>
          <w:i/>
          <w:sz w:val="24"/>
          <w:szCs w:val="24"/>
        </w:rPr>
        <w:t>bien-être</w:t>
      </w:r>
      <w:r w:rsidRPr="008750E4">
        <w:rPr>
          <w:rFonts w:ascii="Tahoma" w:hAnsi="Tahoma" w:cs="Tahoma"/>
          <w:sz w:val="24"/>
          <w:szCs w:val="24"/>
        </w:rPr>
        <w:t xml:space="preserve">, les ménages soutiennent qu’il ne dépend pas uniquement du niveau de revenus des membres, mais d’un ensemble de variables dans le domaine de la santé, l'éducation, l'emploi, etc., indépendamment de leur effet sur les revenus. Ainsi, il est dans le meilleur des cas, moyennement apprécié, avec un peu </w:t>
      </w:r>
      <w:r w:rsidRPr="008750E4">
        <w:rPr>
          <w:rFonts w:ascii="Tahoma" w:hAnsi="Tahoma" w:cs="Tahoma"/>
          <w:sz w:val="24"/>
          <w:szCs w:val="24"/>
        </w:rPr>
        <w:lastRenderedPageBreak/>
        <w:t>moins des deux tiers des ménages (64,8%).Cette situation de mal être est surtout notée dans le milieu rural, avec plus du quart des ménages (75,7%) qui jugent leur niveau de bien être moyen.</w:t>
      </w:r>
    </w:p>
    <w:p w:rsidR="00C84387" w:rsidRPr="008750E4" w:rsidRDefault="00C84387" w:rsidP="00C84387">
      <w:pPr>
        <w:spacing w:after="0"/>
        <w:jc w:val="both"/>
        <w:rPr>
          <w:rFonts w:ascii="Tahoma" w:hAnsi="Tahoma" w:cs="Tahoma"/>
          <w:sz w:val="16"/>
          <w:szCs w:val="16"/>
        </w:rPr>
      </w:pPr>
    </w:p>
    <w:p w:rsidR="00C84387" w:rsidRPr="008750E4" w:rsidRDefault="00C84387" w:rsidP="00C84387">
      <w:pPr>
        <w:spacing w:after="0"/>
        <w:jc w:val="both"/>
        <w:rPr>
          <w:rFonts w:ascii="Tahoma" w:hAnsi="Tahoma" w:cs="Tahoma"/>
        </w:rPr>
      </w:pPr>
      <w:r w:rsidRPr="008750E4">
        <w:rPr>
          <w:rFonts w:ascii="Tahoma" w:hAnsi="Tahoma" w:cs="Tahoma"/>
          <w:sz w:val="24"/>
          <w:szCs w:val="24"/>
        </w:rPr>
        <w:t xml:space="preserve">Par </w:t>
      </w:r>
      <w:r w:rsidRPr="008750E4">
        <w:rPr>
          <w:rFonts w:ascii="Tahoma" w:hAnsi="Tahoma" w:cs="Tahoma"/>
          <w:b/>
          <w:i/>
          <w:sz w:val="24"/>
          <w:szCs w:val="24"/>
        </w:rPr>
        <w:t>choc</w:t>
      </w:r>
      <w:r w:rsidR="00B027CA">
        <w:rPr>
          <w:rFonts w:ascii="Tahoma" w:hAnsi="Tahoma" w:cs="Tahoma"/>
          <w:b/>
          <w:i/>
          <w:sz w:val="24"/>
          <w:szCs w:val="24"/>
        </w:rPr>
        <w:t>,</w:t>
      </w:r>
      <w:r w:rsidRPr="008750E4">
        <w:rPr>
          <w:rFonts w:ascii="Tahoma" w:hAnsi="Tahoma" w:cs="Tahoma"/>
          <w:sz w:val="24"/>
          <w:szCs w:val="24"/>
        </w:rPr>
        <w:t xml:space="preserve"> on entend un changement brusque survenu dans la vie du ménage ou des individus. Il peut très bien s’agir de choc émotionnel ou d’un événement de force majeure imprévisible et contre lequel l’individu ne dispose pas de moyens de riposte. Dans l’ensemble, </w:t>
      </w:r>
      <w:r w:rsidR="00B027CA" w:rsidRPr="008750E4">
        <w:rPr>
          <w:rFonts w:ascii="Tahoma" w:hAnsi="Tahoma" w:cs="Tahoma"/>
          <w:sz w:val="24"/>
          <w:szCs w:val="24"/>
        </w:rPr>
        <w:t xml:space="preserve">au cours des 12 derniers mois précédents l’enquête </w:t>
      </w:r>
      <w:r w:rsidRPr="008750E4">
        <w:rPr>
          <w:rFonts w:ascii="Tahoma" w:hAnsi="Tahoma" w:cs="Tahoma"/>
          <w:sz w:val="24"/>
          <w:szCs w:val="24"/>
        </w:rPr>
        <w:t>plus de la moitié des ménages (51,95%) a subi au moins un choc dont 29,5% en ont connu au moins deux</w:t>
      </w:r>
      <w:r w:rsidRPr="008750E4">
        <w:rPr>
          <w:rFonts w:ascii="Tahoma" w:hAnsi="Tahoma" w:cs="Tahoma"/>
        </w:rPr>
        <w:t xml:space="preserve">. </w:t>
      </w:r>
      <w:r w:rsidRPr="008750E4">
        <w:rPr>
          <w:rFonts w:ascii="Tahoma" w:hAnsi="Tahoma" w:cs="Tahoma"/>
          <w:sz w:val="24"/>
          <w:szCs w:val="24"/>
        </w:rPr>
        <w:t xml:space="preserve">Les ménages ruraux (plus de 57%) semblent être plus touchés par les chocs, quel qu’en soit le type. </w:t>
      </w:r>
    </w:p>
    <w:p w:rsidR="00C84387" w:rsidRPr="008750E4" w:rsidRDefault="00C84387" w:rsidP="00C84387">
      <w:pPr>
        <w:spacing w:after="0"/>
        <w:jc w:val="both"/>
        <w:rPr>
          <w:rFonts w:ascii="Tahoma" w:hAnsi="Tahoma" w:cs="Tahoma"/>
          <w:sz w:val="16"/>
          <w:szCs w:val="16"/>
        </w:rPr>
      </w:pPr>
    </w:p>
    <w:p w:rsidR="00C84387" w:rsidRDefault="00C84387" w:rsidP="0049544F">
      <w:pPr>
        <w:spacing w:after="0"/>
        <w:jc w:val="both"/>
        <w:rPr>
          <w:rFonts w:ascii="Tahoma" w:hAnsi="Tahoma" w:cs="Tahoma"/>
          <w:sz w:val="24"/>
          <w:szCs w:val="24"/>
        </w:rPr>
      </w:pPr>
      <w:r w:rsidRPr="008750E4">
        <w:rPr>
          <w:rFonts w:ascii="Tahoma" w:hAnsi="Tahoma" w:cs="Tahoma"/>
          <w:sz w:val="24"/>
          <w:szCs w:val="24"/>
        </w:rPr>
        <w:t xml:space="preserve">La </w:t>
      </w:r>
      <w:r w:rsidRPr="008750E4">
        <w:rPr>
          <w:rFonts w:ascii="Tahoma" w:hAnsi="Tahoma" w:cs="Tahoma"/>
          <w:b/>
          <w:i/>
          <w:sz w:val="24"/>
          <w:szCs w:val="24"/>
        </w:rPr>
        <w:t xml:space="preserve">téléphonie mobile </w:t>
      </w:r>
      <w:r w:rsidRPr="008750E4">
        <w:rPr>
          <w:rFonts w:ascii="Tahoma" w:hAnsi="Tahoma" w:cs="Tahoma"/>
          <w:sz w:val="24"/>
          <w:szCs w:val="24"/>
        </w:rPr>
        <w:t>joue un rôle très important dans le quotidien des sénégalais. Ici, l’analyse de la téléphonie mobile ne vise pas à comparer les opérateurs pour des raisons concurrentielles mais tout simplement d’appréhender le niveau de satisfaction des utilisateurs en l’occurrence les abonnés âgés de 18 ans et plus par rapport aux services proposés. Elle constitue de plus en plus une dépendance due peut être à son utilité, même si l’enquête révèle que certains soutiennent ne jamais utiliser de téléphone mobile (13,91%) ou rarement c'est-à-dire moins d’une fois durant la journée (10,31%)</w:t>
      </w:r>
      <w:r>
        <w:rPr>
          <w:rFonts w:ascii="Tahoma" w:hAnsi="Tahoma" w:cs="Tahoma"/>
          <w:sz w:val="24"/>
          <w:szCs w:val="24"/>
        </w:rPr>
        <w:t xml:space="preserve"> </w:t>
      </w:r>
      <w:r w:rsidRPr="008750E4">
        <w:rPr>
          <w:rFonts w:ascii="Tahoma" w:hAnsi="Tahoma" w:cs="Tahoma"/>
          <w:sz w:val="24"/>
          <w:szCs w:val="24"/>
        </w:rPr>
        <w:t>d’autres sont plus accrocheurs à leur téléphone et arrivent à l’utiliser jusqu’à cinq fois ou plus (36,42%).</w:t>
      </w:r>
    </w:p>
    <w:p w:rsidR="0049544F" w:rsidRPr="0049544F" w:rsidRDefault="0049544F" w:rsidP="0049544F">
      <w:pPr>
        <w:spacing w:after="0"/>
        <w:jc w:val="both"/>
        <w:rPr>
          <w:rFonts w:ascii="Tahoma" w:hAnsi="Tahoma" w:cs="Tahoma"/>
          <w:sz w:val="24"/>
          <w:szCs w:val="24"/>
        </w:rPr>
      </w:pPr>
    </w:p>
    <w:p w:rsidR="0049544F" w:rsidRPr="00563821" w:rsidRDefault="0049544F" w:rsidP="0049544F">
      <w:pPr>
        <w:jc w:val="both"/>
        <w:rPr>
          <w:rFonts w:ascii="Tahoma" w:hAnsi="Tahoma" w:cs="Tahoma"/>
          <w:b/>
          <w:i/>
          <w:sz w:val="24"/>
          <w:szCs w:val="24"/>
          <w:u w:val="single"/>
        </w:rPr>
      </w:pPr>
      <w:bookmarkStart w:id="1" w:name="_Toc434351712"/>
      <w:bookmarkEnd w:id="0"/>
      <w:r w:rsidRPr="00563821">
        <w:rPr>
          <w:rFonts w:ascii="Tahoma" w:hAnsi="Tahoma" w:cs="Tahoma"/>
          <w:b/>
          <w:i/>
          <w:sz w:val="24"/>
          <w:szCs w:val="24"/>
          <w:u w:val="single"/>
        </w:rPr>
        <w:t>Conclusion</w:t>
      </w:r>
    </w:p>
    <w:p w:rsidR="00195213" w:rsidRPr="00195213" w:rsidRDefault="0049544F" w:rsidP="00195213">
      <w:pPr>
        <w:jc w:val="both"/>
        <w:rPr>
          <w:rFonts w:ascii="Tahoma" w:hAnsi="Tahoma" w:cs="Tahoma"/>
          <w:b/>
          <w:sz w:val="24"/>
          <w:szCs w:val="24"/>
        </w:rPr>
      </w:pPr>
      <w:r>
        <w:rPr>
          <w:rFonts w:ascii="Tahoma" w:hAnsi="Tahoma" w:cs="Tahoma"/>
          <w:sz w:val="24"/>
          <w:szCs w:val="24"/>
        </w:rPr>
        <w:t>En adhérant à cette</w:t>
      </w:r>
      <w:r w:rsidRPr="008750E4">
        <w:rPr>
          <w:rFonts w:ascii="Tahoma" w:hAnsi="Tahoma" w:cs="Tahoma"/>
          <w:sz w:val="24"/>
          <w:szCs w:val="24"/>
        </w:rPr>
        <w:t xml:space="preserve"> phase pilote des enquêtes auprès des ménages par téléphone mobile</w:t>
      </w:r>
      <w:r>
        <w:rPr>
          <w:rFonts w:ascii="Tahoma" w:hAnsi="Tahoma" w:cs="Tahoma"/>
          <w:sz w:val="24"/>
          <w:szCs w:val="24"/>
        </w:rPr>
        <w:t xml:space="preserve">, l’ANSD répond en même temps à la demande des utilisateurs en mettant à dispositions les informations issues de cette enquête « A l’écoute du Sénégal ». </w:t>
      </w:r>
      <w:r w:rsidR="00156088">
        <w:rPr>
          <w:rFonts w:ascii="Tahoma" w:hAnsi="Tahoma" w:cs="Tahoma"/>
          <w:sz w:val="24"/>
          <w:szCs w:val="24"/>
        </w:rPr>
        <w:t>Elle</w:t>
      </w:r>
      <w:r>
        <w:rPr>
          <w:rFonts w:ascii="Tahoma" w:hAnsi="Tahoma" w:cs="Tahoma"/>
          <w:sz w:val="24"/>
          <w:szCs w:val="24"/>
        </w:rPr>
        <w:t xml:space="preserve"> va permettre </w:t>
      </w:r>
      <w:r w:rsidRPr="008750E4">
        <w:rPr>
          <w:rFonts w:ascii="Tahoma" w:hAnsi="Tahoma" w:cs="Tahoma"/>
          <w:sz w:val="24"/>
          <w:szCs w:val="24"/>
        </w:rPr>
        <w:t>de gagner en termes de fréquence de disponibilité de données</w:t>
      </w:r>
      <w:r>
        <w:rPr>
          <w:rFonts w:ascii="Tahoma" w:hAnsi="Tahoma" w:cs="Tahoma"/>
          <w:sz w:val="24"/>
          <w:szCs w:val="24"/>
        </w:rPr>
        <w:t xml:space="preserve">. </w:t>
      </w:r>
      <w:r w:rsidRPr="008750E4">
        <w:rPr>
          <w:rFonts w:ascii="Tahoma" w:hAnsi="Tahoma" w:cs="Tahoma"/>
          <w:sz w:val="24"/>
          <w:szCs w:val="24"/>
        </w:rPr>
        <w:t xml:space="preserve">Par contre, il </w:t>
      </w:r>
      <w:r>
        <w:rPr>
          <w:rFonts w:ascii="Tahoma" w:hAnsi="Tahoma" w:cs="Tahoma"/>
          <w:sz w:val="24"/>
          <w:szCs w:val="24"/>
        </w:rPr>
        <w:t>est bien de préciser</w:t>
      </w:r>
      <w:r w:rsidRPr="008750E4">
        <w:rPr>
          <w:rFonts w:ascii="Tahoma" w:hAnsi="Tahoma" w:cs="Tahoma"/>
          <w:sz w:val="24"/>
          <w:szCs w:val="24"/>
        </w:rPr>
        <w:t xml:space="preserve"> que </w:t>
      </w:r>
      <w:r>
        <w:rPr>
          <w:rFonts w:ascii="Tahoma" w:hAnsi="Tahoma" w:cs="Tahoma"/>
          <w:sz w:val="24"/>
          <w:szCs w:val="24"/>
        </w:rPr>
        <w:t xml:space="preserve">cette enquête </w:t>
      </w:r>
      <w:r w:rsidR="00195213">
        <w:rPr>
          <w:rFonts w:ascii="Tahoma" w:hAnsi="Tahoma" w:cs="Tahoma"/>
          <w:sz w:val="24"/>
          <w:szCs w:val="24"/>
        </w:rPr>
        <w:t xml:space="preserve">n’a fourni </w:t>
      </w:r>
      <w:r>
        <w:rPr>
          <w:rFonts w:ascii="Tahoma" w:hAnsi="Tahoma" w:cs="Tahoma"/>
          <w:sz w:val="24"/>
          <w:szCs w:val="24"/>
        </w:rPr>
        <w:t xml:space="preserve">des informations qui sont représentatives qu’au niveau national </w:t>
      </w:r>
      <w:r w:rsidR="00156088">
        <w:rPr>
          <w:rFonts w:ascii="Tahoma" w:hAnsi="Tahoma" w:cs="Tahoma"/>
          <w:sz w:val="24"/>
          <w:szCs w:val="24"/>
        </w:rPr>
        <w:t>et dans</w:t>
      </w:r>
      <w:r w:rsidRPr="008750E4">
        <w:rPr>
          <w:rFonts w:ascii="Tahoma" w:hAnsi="Tahoma" w:cs="Tahoma"/>
          <w:sz w:val="24"/>
          <w:szCs w:val="24"/>
        </w:rPr>
        <w:t xml:space="preserve"> les trois Zones </w:t>
      </w:r>
      <w:r>
        <w:rPr>
          <w:rFonts w:ascii="Tahoma" w:hAnsi="Tahoma" w:cs="Tahoma"/>
          <w:sz w:val="24"/>
          <w:szCs w:val="24"/>
        </w:rPr>
        <w:t>de résidences</w:t>
      </w:r>
      <w:r w:rsidRPr="008750E4">
        <w:rPr>
          <w:rFonts w:ascii="Tahoma" w:hAnsi="Tahoma" w:cs="Tahoma"/>
          <w:sz w:val="24"/>
          <w:szCs w:val="24"/>
        </w:rPr>
        <w:t xml:space="preserve"> Dakar, autres milieux urbains et milieu rural.</w:t>
      </w:r>
      <w:r w:rsidR="00195213" w:rsidRPr="00195213">
        <w:rPr>
          <w:rFonts w:ascii="Tahoma" w:hAnsi="Tahoma" w:cs="Tahoma"/>
          <w:b/>
          <w:sz w:val="24"/>
          <w:szCs w:val="24"/>
        </w:rPr>
        <w:t xml:space="preserve"> </w:t>
      </w:r>
      <w:bookmarkEnd w:id="1"/>
    </w:p>
    <w:sectPr w:rsidR="00195213" w:rsidRPr="00195213" w:rsidSect="00C84387">
      <w:footerReference w:type="default" r:id="rId9"/>
      <w:pgSz w:w="11906" w:h="16838"/>
      <w:pgMar w:top="964"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5D4" w:rsidRDefault="00C465D4" w:rsidP="009600A1">
      <w:pPr>
        <w:spacing w:after="0" w:line="240" w:lineRule="auto"/>
      </w:pPr>
      <w:r>
        <w:separator/>
      </w:r>
    </w:p>
  </w:endnote>
  <w:endnote w:type="continuationSeparator" w:id="1">
    <w:p w:rsidR="00C465D4" w:rsidRDefault="00C465D4" w:rsidP="009600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60565"/>
      <w:docPartObj>
        <w:docPartGallery w:val="Page Numbers (Bottom of Page)"/>
        <w:docPartUnique/>
      </w:docPartObj>
    </w:sdtPr>
    <w:sdtContent>
      <w:p w:rsidR="009600A1" w:rsidRDefault="00F9476B">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3"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3073">
                <w:txbxContent>
                  <w:p w:rsidR="009600A1" w:rsidRDefault="00F9476B">
                    <w:pPr>
                      <w:jc w:val="center"/>
                    </w:pPr>
                    <w:fldSimple w:instr=" PAGE    \* MERGEFORMAT ">
                      <w:r w:rsidR="000567B8" w:rsidRPr="000567B8">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5D4" w:rsidRDefault="00C465D4" w:rsidP="009600A1">
      <w:pPr>
        <w:spacing w:after="0" w:line="240" w:lineRule="auto"/>
      </w:pPr>
      <w:r>
        <w:separator/>
      </w:r>
    </w:p>
  </w:footnote>
  <w:footnote w:type="continuationSeparator" w:id="1">
    <w:p w:rsidR="00C465D4" w:rsidRDefault="00C465D4" w:rsidP="009600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0"/>
    <o:shapelayout v:ext="edit">
      <o:idmap v:ext="edit" data="3"/>
    </o:shapelayout>
  </w:hdrShapeDefaults>
  <w:footnotePr>
    <w:footnote w:id="0"/>
    <w:footnote w:id="1"/>
  </w:footnotePr>
  <w:endnotePr>
    <w:endnote w:id="0"/>
    <w:endnote w:id="1"/>
  </w:endnotePr>
  <w:compat/>
  <w:rsids>
    <w:rsidRoot w:val="00C84387"/>
    <w:rsid w:val="000567B8"/>
    <w:rsid w:val="000A5F1E"/>
    <w:rsid w:val="00156088"/>
    <w:rsid w:val="0018078D"/>
    <w:rsid w:val="00195213"/>
    <w:rsid w:val="00271BFF"/>
    <w:rsid w:val="00380792"/>
    <w:rsid w:val="00463CCA"/>
    <w:rsid w:val="00491DC1"/>
    <w:rsid w:val="0049544F"/>
    <w:rsid w:val="005049A0"/>
    <w:rsid w:val="00513189"/>
    <w:rsid w:val="00521691"/>
    <w:rsid w:val="00563821"/>
    <w:rsid w:val="006269E1"/>
    <w:rsid w:val="006F0971"/>
    <w:rsid w:val="008321D4"/>
    <w:rsid w:val="00915ADD"/>
    <w:rsid w:val="00936471"/>
    <w:rsid w:val="009600A1"/>
    <w:rsid w:val="00971140"/>
    <w:rsid w:val="009B70AB"/>
    <w:rsid w:val="009F7E46"/>
    <w:rsid w:val="00B027CA"/>
    <w:rsid w:val="00B2518F"/>
    <w:rsid w:val="00C40C97"/>
    <w:rsid w:val="00C465D4"/>
    <w:rsid w:val="00C84387"/>
    <w:rsid w:val="00C955D4"/>
    <w:rsid w:val="00D92AE8"/>
    <w:rsid w:val="00DA13D8"/>
    <w:rsid w:val="00DA1788"/>
    <w:rsid w:val="00DC7DD4"/>
    <w:rsid w:val="00F9476B"/>
    <w:rsid w:val="00FB788C"/>
    <w:rsid w:val="00FF43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87"/>
  </w:style>
  <w:style w:type="paragraph" w:styleId="Titre1">
    <w:name w:val="heading 1"/>
    <w:basedOn w:val="Normal"/>
    <w:next w:val="Normal"/>
    <w:link w:val="Titre1Car"/>
    <w:qFormat/>
    <w:rsid w:val="00C84387"/>
    <w:pPr>
      <w:keepNext/>
      <w:overflowPunct w:val="0"/>
      <w:autoSpaceDE w:val="0"/>
      <w:autoSpaceDN w:val="0"/>
      <w:adjustRightInd w:val="0"/>
      <w:spacing w:before="240" w:after="60" w:line="240" w:lineRule="auto"/>
      <w:textAlignment w:val="baseline"/>
      <w:outlineLvl w:val="0"/>
    </w:pPr>
    <w:rPr>
      <w:rFonts w:ascii="Cambria" w:eastAsia="Times New Roman" w:hAnsi="Cambria" w:cs="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84387"/>
    <w:rPr>
      <w:rFonts w:ascii="Cambria" w:eastAsia="Times New Roman" w:hAnsi="Cambria" w:cs="Times New Roman"/>
      <w:b/>
      <w:bCs/>
      <w:kern w:val="32"/>
      <w:sz w:val="32"/>
      <w:szCs w:val="32"/>
    </w:rPr>
  </w:style>
  <w:style w:type="paragraph" w:styleId="NormalWeb">
    <w:name w:val="Normal (Web)"/>
    <w:basedOn w:val="Normal"/>
    <w:uiPriority w:val="99"/>
    <w:semiHidden/>
    <w:unhideWhenUsed/>
    <w:rsid w:val="00195213"/>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1952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213"/>
    <w:rPr>
      <w:rFonts w:ascii="Tahoma" w:hAnsi="Tahoma" w:cs="Tahoma"/>
      <w:sz w:val="16"/>
      <w:szCs w:val="16"/>
    </w:rPr>
  </w:style>
  <w:style w:type="paragraph" w:styleId="En-tte">
    <w:name w:val="header"/>
    <w:basedOn w:val="Normal"/>
    <w:link w:val="En-tteCar"/>
    <w:uiPriority w:val="99"/>
    <w:semiHidden/>
    <w:unhideWhenUsed/>
    <w:rsid w:val="009600A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600A1"/>
  </w:style>
  <w:style w:type="paragraph" w:styleId="Pieddepage">
    <w:name w:val="footer"/>
    <w:basedOn w:val="Normal"/>
    <w:link w:val="PieddepageCar"/>
    <w:uiPriority w:val="99"/>
    <w:semiHidden/>
    <w:unhideWhenUsed/>
    <w:rsid w:val="009600A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600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png@01D0E64B.5D23B020"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1503</Words>
  <Characters>8272</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MDIOUF</dc:creator>
  <cp:lastModifiedBy>MSOW</cp:lastModifiedBy>
  <cp:revision>2</cp:revision>
  <dcterms:created xsi:type="dcterms:W3CDTF">2015-12-07T09:46:00Z</dcterms:created>
  <dcterms:modified xsi:type="dcterms:W3CDTF">2015-12-07T09:46:00Z</dcterms:modified>
</cp:coreProperties>
</file>